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34" w:rsidRPr="006410FC" w:rsidRDefault="00306F34">
      <w:pPr>
        <w:pStyle w:val="00TitleC"/>
      </w:pPr>
      <w:r w:rsidRPr="006410FC">
        <w:t>PURCHASE CONTRACT</w:t>
      </w:r>
    </w:p>
    <w:p w:rsidR="00306F34" w:rsidRPr="006410FC" w:rsidRDefault="00306F34">
      <w:pPr>
        <w:pStyle w:val="00Center"/>
      </w:pPr>
      <w:r w:rsidRPr="006410FC">
        <w:t>related to:</w:t>
      </w:r>
    </w:p>
    <w:p w:rsidR="005C7F25" w:rsidRDefault="00052B4D" w:rsidP="00BF6E56">
      <w:pPr>
        <w:pStyle w:val="00Center"/>
      </w:pPr>
      <w:bookmarkStart w:id="0" w:name="_Hlk99530667"/>
      <w:r>
        <w:t>$</w:t>
      </w:r>
      <w:r w:rsidR="00D00AB6">
        <w:t>[PAR A]</w:t>
      </w:r>
      <w:r w:rsidR="005C7F25" w:rsidRPr="006410FC">
        <w:br/>
        <w:t xml:space="preserve">Independent Cities Finance Authority </w:t>
      </w:r>
      <w:r w:rsidR="005C7F25" w:rsidRPr="006410FC">
        <w:br/>
        <w:t xml:space="preserve">Mobile Home Park Revenue Refunding Bonds </w:t>
      </w:r>
      <w:r w:rsidR="005C7F25" w:rsidRPr="006410FC">
        <w:br/>
      </w:r>
      <w:r w:rsidR="00BC10A9">
        <w:t>(Augusta Communities Mobile Home Park Pool</w:t>
      </w:r>
      <w:r>
        <w:t>)</w:t>
      </w:r>
      <w:r w:rsidR="00125EE6" w:rsidRPr="006410FC">
        <w:t xml:space="preserve"> </w:t>
      </w:r>
      <w:r w:rsidR="00BC10A9">
        <w:t>Series 2022</w:t>
      </w:r>
      <w:r w:rsidR="00D00AB6">
        <w:t>A</w:t>
      </w:r>
    </w:p>
    <w:bookmarkEnd w:id="0"/>
    <w:p w:rsidR="00D00AB6" w:rsidRDefault="00D00AB6" w:rsidP="00BF6E56">
      <w:pPr>
        <w:pStyle w:val="00Center"/>
      </w:pPr>
      <w:r>
        <w:t>And</w:t>
      </w:r>
    </w:p>
    <w:p w:rsidR="00D00AB6" w:rsidRPr="006410FC" w:rsidRDefault="00D00AB6" w:rsidP="00D00AB6">
      <w:pPr>
        <w:pStyle w:val="00Center"/>
      </w:pPr>
      <w:r>
        <w:t>$[PAR B]</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2022B (Federally Taxable)</w:t>
      </w:r>
    </w:p>
    <w:p w:rsidR="00D00AB6" w:rsidRPr="006410FC" w:rsidRDefault="00D00AB6" w:rsidP="00D00AB6"/>
    <w:p w:rsidR="00306F34" w:rsidRPr="006410FC" w:rsidRDefault="002D43AA">
      <w:pPr>
        <w:pStyle w:val="00Center"/>
      </w:pPr>
      <w:r>
        <w:t>May</w:t>
      </w:r>
      <w:r w:rsidR="004C0D47">
        <w:t xml:space="preserve"> [__]</w:t>
      </w:r>
      <w:r w:rsidR="00EF211D">
        <w:t>, 202</w:t>
      </w:r>
      <w:r w:rsidR="00D00AB6">
        <w:t>2</w:t>
      </w:r>
    </w:p>
    <w:p w:rsidR="002B727D" w:rsidRPr="006410FC" w:rsidRDefault="002B727D" w:rsidP="002B727D">
      <w:pPr>
        <w:pStyle w:val="00Normal"/>
      </w:pPr>
      <w:r w:rsidRPr="006410FC">
        <w:t>Independent Cities Finance Authority</w:t>
      </w:r>
      <w:r w:rsidRPr="006410FC">
        <w:br/>
        <w:t>Post Office Box 6740</w:t>
      </w:r>
      <w:r w:rsidRPr="006410FC">
        <w:br/>
        <w:t>Lancaster, California 93539-6740</w:t>
      </w:r>
    </w:p>
    <w:p w:rsidR="005C7F25" w:rsidRPr="006410FC" w:rsidRDefault="00BC10A9" w:rsidP="0091288A">
      <w:pPr>
        <w:pStyle w:val="00Normal"/>
      </w:pPr>
      <w:r>
        <w:t>Augusta Communities LLC</w:t>
      </w:r>
      <w:r w:rsidR="005C7F25" w:rsidRPr="006410FC">
        <w:br/>
      </w:r>
      <w:r w:rsidR="0091288A">
        <w:t>400 Mountain Avenue, Suite 205</w:t>
      </w:r>
      <w:r w:rsidR="0091288A">
        <w:br/>
        <w:t>Upland, C</w:t>
      </w:r>
      <w:r w:rsidR="00D00AB6">
        <w:t>alifornia</w:t>
      </w:r>
      <w:r w:rsidR="0091288A">
        <w:t xml:space="preserve"> 91789</w:t>
      </w:r>
      <w:r w:rsidR="0091288A">
        <w:br/>
        <w:t>Attention: Suzanne Taylor</w:t>
      </w:r>
    </w:p>
    <w:p w:rsidR="00306F34" w:rsidRPr="006410FC" w:rsidRDefault="00306F34">
      <w:pPr>
        <w:pStyle w:val="00Normal"/>
      </w:pPr>
      <w:r w:rsidRPr="006410FC">
        <w:t>Ladies and Gentlemen:</w:t>
      </w:r>
    </w:p>
    <w:p w:rsidR="00306F34" w:rsidRDefault="008341C2">
      <w:pPr>
        <w:pStyle w:val="00BodyText5"/>
      </w:pPr>
      <w:bookmarkStart w:id="1" w:name="_Hlk99530683"/>
      <w:r w:rsidRPr="006410FC">
        <w:t>Newcomb Williams Financial Group</w:t>
      </w:r>
      <w:r w:rsidR="009B00A5" w:rsidRPr="006410FC">
        <w:t>, Securities offered through Stinson Securities, LLC (</w:t>
      </w:r>
      <w:r w:rsidR="00306F34" w:rsidRPr="006410FC">
        <w:t>the “</w:t>
      </w:r>
      <w:r w:rsidR="004F12C5" w:rsidRPr="006410FC">
        <w:t>Underwriter</w:t>
      </w:r>
      <w:r w:rsidR="00306F34" w:rsidRPr="006410FC">
        <w:t>”)</w:t>
      </w:r>
      <w:r w:rsidR="00C176BC">
        <w:t>,</w:t>
      </w:r>
      <w:r w:rsidR="00306F34" w:rsidRPr="006410FC">
        <w:t xml:space="preserve"> hereby offers to enter into the following agreement with the Independent Cities Finance Authority (the “Issuer”) and </w:t>
      </w:r>
      <w:r w:rsidR="00BC10A9">
        <w:t>Augusta Communities LLC</w:t>
      </w:r>
      <w:r w:rsidR="00306F34" w:rsidRPr="006410FC">
        <w:t xml:space="preserve">, </w:t>
      </w:r>
      <w:r w:rsidR="005938BD" w:rsidRPr="006410FC">
        <w:t xml:space="preserve">a California </w:t>
      </w:r>
      <w:r w:rsidR="00EF211D">
        <w:t xml:space="preserve">limited liability company </w:t>
      </w:r>
      <w:r w:rsidR="00306F34" w:rsidRPr="006410FC">
        <w:t xml:space="preserve">(the “Borrower”). </w:t>
      </w:r>
      <w:bookmarkEnd w:id="1"/>
      <w:r w:rsidR="00306F34" w:rsidRPr="006410FC">
        <w:t xml:space="preserve"> Upon the acceptance hereof by both of you, this offer will be binding upon the Issuer, the Borrower and the </w:t>
      </w:r>
      <w:r w:rsidR="004F12C5" w:rsidRPr="006410FC">
        <w:t>Underwriter</w:t>
      </w:r>
      <w:r w:rsidR="00306F34" w:rsidRPr="006410FC">
        <w:t xml:space="preserve">.  This offer is made subject to (i) the written acceptance hereof by both of you, and (ii) withdrawal by the </w:t>
      </w:r>
      <w:r w:rsidR="004F12C5" w:rsidRPr="006410FC">
        <w:t>Underwriter</w:t>
      </w:r>
      <w:r w:rsidR="00306F34" w:rsidRPr="006410FC">
        <w:t xml:space="preserve"> upon written notice (by </w:t>
      </w:r>
      <w:r w:rsidR="004500C2">
        <w:t xml:space="preserve">email </w:t>
      </w:r>
      <w:r w:rsidR="00306F34" w:rsidRPr="006410FC">
        <w:t>or otherwise) delivered to you at any time prior to the acceptance hereof by both of you.</w:t>
      </w:r>
    </w:p>
    <w:p w:rsidR="00306F34" w:rsidRPr="006410FC" w:rsidRDefault="00306F34" w:rsidP="00A54AE0">
      <w:pPr>
        <w:pStyle w:val="Heading1"/>
      </w:pPr>
      <w:r w:rsidRPr="006410FC">
        <w:rPr>
          <w:u w:val="single"/>
        </w:rPr>
        <w:t>Purchase and Sale</w:t>
      </w:r>
      <w:r w:rsidRPr="006410FC">
        <w:t xml:space="preserve">.  Upon the terms and conditions and upon the basis of the representations, warranties and agreements set forth herein, the Issuer agrees to sell and deliver to the </w:t>
      </w:r>
      <w:r w:rsidR="004F12C5" w:rsidRPr="006410FC">
        <w:t>Underwriter</w:t>
      </w:r>
      <w:r w:rsidRPr="006410FC">
        <w:t xml:space="preserve"> and the </w:t>
      </w:r>
      <w:r w:rsidR="004F12C5" w:rsidRPr="006410FC">
        <w:t>Underwriter</w:t>
      </w:r>
      <w:r w:rsidR="009B00A5" w:rsidRPr="006410FC">
        <w:t xml:space="preserve"> hereby agree</w:t>
      </w:r>
      <w:r w:rsidR="004F12C5" w:rsidRPr="006410FC">
        <w:t>s</w:t>
      </w:r>
      <w:r w:rsidRPr="006410FC">
        <w:t xml:space="preserve"> to purchase from the Issuer, at the Closing Time on the Closing Date (both as defined below), all of the </w:t>
      </w:r>
      <w:r w:rsidR="00D00AB6">
        <w:t>(a) $[PAR A]</w:t>
      </w:r>
      <w:r w:rsidR="00D00AB6" w:rsidRPr="006410FC">
        <w:t xml:space="preserve"> principal amount of Independent Cities Finance Authority Mobile Home Park Revenue Refunding Bonds </w:t>
      </w:r>
      <w:r w:rsidR="00D00AB6">
        <w:t>(Augusta Communities Mobile Home Park Pool)</w:t>
      </w:r>
      <w:r w:rsidR="00D00AB6" w:rsidRPr="006410FC">
        <w:t xml:space="preserve"> </w:t>
      </w:r>
      <w:r w:rsidR="00D00AB6">
        <w:t xml:space="preserve">Series 2022A (the “Series A Bonds”) and (b) </w:t>
      </w:r>
      <w:r w:rsidR="00052B4D">
        <w:t>$</w:t>
      </w:r>
      <w:r w:rsidR="00D00AB6">
        <w:t>[PAR B]</w:t>
      </w:r>
      <w:r w:rsidRPr="006410FC">
        <w:t xml:space="preserve"> principal amount of Independent Cities Finance Authority </w:t>
      </w:r>
      <w:r w:rsidR="00613BF1" w:rsidRPr="006410FC">
        <w:t xml:space="preserve">Mobile Home Park Revenue Refunding Bonds </w:t>
      </w:r>
      <w:r w:rsidR="00BC10A9">
        <w:t>(Augusta Communities Mobile Home Park Pool</w:t>
      </w:r>
      <w:r w:rsidR="00052B4D">
        <w:t>)</w:t>
      </w:r>
      <w:r w:rsidR="008C0522" w:rsidRPr="006410FC">
        <w:t xml:space="preserve"> </w:t>
      </w:r>
      <w:r w:rsidR="00BC10A9">
        <w:t>Series 2022</w:t>
      </w:r>
      <w:r w:rsidR="00D00AB6">
        <w:t>B</w:t>
      </w:r>
      <w:r w:rsidR="00A73A76">
        <w:t xml:space="preserve"> (Federally Taxable)</w:t>
      </w:r>
      <w:r w:rsidR="008C0522" w:rsidRPr="006410FC">
        <w:t xml:space="preserve"> </w:t>
      </w:r>
      <w:r w:rsidR="002B727D" w:rsidRPr="006410FC">
        <w:t xml:space="preserve">(the </w:t>
      </w:r>
      <w:r w:rsidR="008D303F" w:rsidRPr="006410FC">
        <w:lastRenderedPageBreak/>
        <w:t>“</w:t>
      </w:r>
      <w:r w:rsidR="00D00AB6">
        <w:t xml:space="preserve">Series B </w:t>
      </w:r>
      <w:r w:rsidR="00CE166D" w:rsidRPr="006410FC">
        <w:t>Bond</w:t>
      </w:r>
      <w:r w:rsidR="008D303F" w:rsidRPr="006410FC">
        <w:t>s”</w:t>
      </w:r>
      <w:r w:rsidR="00D00AB6">
        <w:t xml:space="preserve"> and together with the Series A Bonds, the “Bonds”</w:t>
      </w:r>
      <w:r w:rsidR="008D303F" w:rsidRPr="006410FC">
        <w:t>)</w:t>
      </w:r>
      <w:r w:rsidRPr="006410FC">
        <w:t xml:space="preserve">.  The </w:t>
      </w:r>
      <w:r w:rsidR="00CE166D" w:rsidRPr="006410FC">
        <w:t>Bond</w:t>
      </w:r>
      <w:r w:rsidRPr="006410FC">
        <w:t xml:space="preserve">s shall be dated the Closing Date, and the </w:t>
      </w:r>
      <w:r w:rsidR="00CE166D" w:rsidRPr="006410FC">
        <w:t>Bond</w:t>
      </w:r>
      <w:r w:rsidRPr="006410FC">
        <w:t xml:space="preserve">s shall mature on </w:t>
      </w:r>
      <w:r w:rsidR="00C176BC">
        <w:t>[</w:t>
      </w:r>
      <w:r w:rsidR="00D00AB6">
        <w:t xml:space="preserve">June </w:t>
      </w:r>
      <w:r w:rsidR="003604C1">
        <w:t>15</w:t>
      </w:r>
      <w:r w:rsidR="00C176BC">
        <w:t>]</w:t>
      </w:r>
      <w:r w:rsidR="009B00A5" w:rsidRPr="006410FC">
        <w:t xml:space="preserve"> </w:t>
      </w:r>
      <w:r w:rsidRPr="006410FC">
        <w:t>in the year</w:t>
      </w:r>
      <w:r w:rsidR="009B00A5" w:rsidRPr="006410FC">
        <w:t xml:space="preserve">s set forth on </w:t>
      </w:r>
      <w:r w:rsidR="009B00A5" w:rsidRPr="00D00AB6">
        <w:rPr>
          <w:u w:val="single"/>
        </w:rPr>
        <w:t>Exhibit A</w:t>
      </w:r>
      <w:r w:rsidR="009B00A5" w:rsidRPr="006410FC">
        <w:t xml:space="preserve"> hereto</w:t>
      </w:r>
      <w:r w:rsidRPr="006410FC">
        <w:t xml:space="preserve"> and s</w:t>
      </w:r>
      <w:r w:rsidR="009B00A5" w:rsidRPr="006410FC">
        <w:t>hall bear interest at the rates</w:t>
      </w:r>
      <w:r w:rsidRPr="006410FC">
        <w:t xml:space="preserve"> shown on </w:t>
      </w:r>
      <w:r w:rsidRPr="00D00AB6">
        <w:rPr>
          <w:u w:val="single"/>
        </w:rPr>
        <w:t>Exhibit A</w:t>
      </w:r>
      <w:r w:rsidRPr="006410FC">
        <w:t xml:space="preserve"> hereto.  The </w:t>
      </w:r>
      <w:r w:rsidR="00CE166D" w:rsidRPr="006410FC">
        <w:t>Bond</w:t>
      </w:r>
      <w:r w:rsidRPr="006410FC">
        <w:t xml:space="preserve">s shall be subject to optional redemption, special redemption and mandatory redemption from sinking fund payments in the amounts and on the dates shown in the Official Statement (as described below).  Interest on the </w:t>
      </w:r>
      <w:r w:rsidR="00CE166D" w:rsidRPr="006410FC">
        <w:t>Bond</w:t>
      </w:r>
      <w:r w:rsidRPr="006410FC">
        <w:t xml:space="preserve">s shall be payable on </w:t>
      </w:r>
      <w:r w:rsidR="00D00AB6">
        <w:t xml:space="preserve">[December </w:t>
      </w:r>
      <w:r w:rsidR="003604C1">
        <w:t>15</w:t>
      </w:r>
      <w:r w:rsidR="00DD3C31" w:rsidRPr="006410FC">
        <w:t>, 20</w:t>
      </w:r>
      <w:r w:rsidR="00EF211D">
        <w:t>2</w:t>
      </w:r>
      <w:r w:rsidR="00052B4D">
        <w:t>2</w:t>
      </w:r>
      <w:r w:rsidR="00D00AB6">
        <w:t>]</w:t>
      </w:r>
      <w:r w:rsidRPr="006410FC">
        <w:t xml:space="preserve"> and semiannually thereafter on </w:t>
      </w:r>
      <w:r w:rsidR="00C176BC">
        <w:t>[</w:t>
      </w:r>
      <w:r w:rsidR="00D00AB6">
        <w:t>June</w:t>
      </w:r>
      <w:r w:rsidR="00C176BC">
        <w:t>]</w:t>
      </w:r>
      <w:r w:rsidR="00D00AB6">
        <w:t xml:space="preserve"> </w:t>
      </w:r>
      <w:r w:rsidR="003604C1">
        <w:t>15</w:t>
      </w:r>
      <w:r w:rsidR="009B00A5" w:rsidRPr="006410FC">
        <w:t xml:space="preserve"> and </w:t>
      </w:r>
      <w:r w:rsidR="00C176BC">
        <w:t>[</w:t>
      </w:r>
      <w:r w:rsidR="00D00AB6">
        <w:t>December</w:t>
      </w:r>
      <w:r w:rsidR="00C176BC">
        <w:t>]</w:t>
      </w:r>
      <w:r w:rsidR="00D00AB6">
        <w:t xml:space="preserve"> </w:t>
      </w:r>
      <w:r w:rsidR="003604C1">
        <w:t>15</w:t>
      </w:r>
      <w:r w:rsidR="009B00A5" w:rsidRPr="006410FC">
        <w:t xml:space="preserve"> of</w:t>
      </w:r>
      <w:r w:rsidRPr="006410FC">
        <w:t xml:space="preserve"> each year to maturity.</w:t>
      </w:r>
      <w:r w:rsidR="008C0522" w:rsidRPr="006410FC">
        <w:t xml:space="preserve"> </w:t>
      </w:r>
    </w:p>
    <w:p w:rsidR="00306F34" w:rsidRPr="006410FC" w:rsidRDefault="00306F34">
      <w:pPr>
        <w:pStyle w:val="00BodyText5"/>
      </w:pPr>
      <w:r w:rsidRPr="006410FC">
        <w:t>The</w:t>
      </w:r>
      <w:r w:rsidR="003A6F18" w:rsidRPr="006410FC">
        <w:t xml:space="preserve"> </w:t>
      </w:r>
      <w:r w:rsidRPr="006410FC">
        <w:t xml:space="preserve">purchase price for the </w:t>
      </w:r>
      <w:r w:rsidR="00D00AB6">
        <w:t xml:space="preserve">Series A </w:t>
      </w:r>
      <w:r w:rsidR="00CE166D" w:rsidRPr="006410FC">
        <w:t>Bond</w:t>
      </w:r>
      <w:r w:rsidR="004F36C2" w:rsidRPr="006410FC">
        <w:t>s</w:t>
      </w:r>
      <w:r w:rsidRPr="006410FC">
        <w:t xml:space="preserve"> shall be </w:t>
      </w:r>
      <w:r w:rsidR="00DF018D" w:rsidRPr="006410FC">
        <w:t>$</w:t>
      </w:r>
      <w:r w:rsidR="004C0D47">
        <w:t>[</w:t>
      </w:r>
      <w:r w:rsidR="00052B4D">
        <w:t>__________</w:t>
      </w:r>
      <w:r w:rsidR="004C0D47">
        <w:t>]</w:t>
      </w:r>
      <w:r w:rsidR="005B7BD6" w:rsidRPr="006410FC">
        <w:t>,</w:t>
      </w:r>
      <w:r w:rsidRPr="006410FC">
        <w:t xml:space="preserve"> being the principal amount of the </w:t>
      </w:r>
      <w:r w:rsidR="00D00AB6">
        <w:t xml:space="preserve">Series A </w:t>
      </w:r>
      <w:r w:rsidR="00CE166D" w:rsidRPr="006410FC">
        <w:t>Bond</w:t>
      </w:r>
      <w:r w:rsidR="004F36C2" w:rsidRPr="006410FC">
        <w:t>s</w:t>
      </w:r>
      <w:r w:rsidR="00835D23" w:rsidRPr="006410FC">
        <w:t xml:space="preserve"> (</w:t>
      </w:r>
      <w:r w:rsidR="00052B4D">
        <w:t>$</w:t>
      </w:r>
      <w:r w:rsidR="00D00AB6">
        <w:t>[PAR A]</w:t>
      </w:r>
      <w:r w:rsidR="00835D23" w:rsidRPr="006410FC">
        <w:t>)</w:t>
      </w:r>
      <w:r w:rsidRPr="006410FC">
        <w:t xml:space="preserve"> </w:t>
      </w:r>
      <w:r w:rsidR="00B22BF9" w:rsidRPr="006410FC">
        <w:t>less</w:t>
      </w:r>
      <w:r w:rsidR="001B76B9" w:rsidRPr="006410FC">
        <w:t xml:space="preserve"> </w:t>
      </w:r>
      <w:r w:rsidRPr="006410FC">
        <w:t>an Underwriter</w:t>
      </w:r>
      <w:r w:rsidR="004F12C5" w:rsidRPr="006410FC">
        <w:t>’</w:t>
      </w:r>
      <w:r w:rsidR="009B00A5" w:rsidRPr="006410FC">
        <w:t>s</w:t>
      </w:r>
      <w:r w:rsidRPr="006410FC">
        <w:t xml:space="preserve"> discount of </w:t>
      </w:r>
      <w:r w:rsidR="004C0D47" w:rsidRPr="006410FC">
        <w:t>$</w:t>
      </w:r>
      <w:r w:rsidR="004C0D47">
        <w:t>[__________]</w:t>
      </w:r>
      <w:r w:rsidR="00A54AE0">
        <w:t xml:space="preserve"> </w:t>
      </w:r>
      <w:r w:rsidR="00C176BC">
        <w:t>[plus/</w:t>
      </w:r>
      <w:r w:rsidR="00125FCC">
        <w:t>less</w:t>
      </w:r>
      <w:r w:rsidR="00C176BC">
        <w:t>]</w:t>
      </w:r>
      <w:r w:rsidR="00A54AE0">
        <w:t xml:space="preserve"> </w:t>
      </w:r>
      <w:r w:rsidR="00D00AB6">
        <w:t>[</w:t>
      </w:r>
      <w:r w:rsidR="006210B8" w:rsidRPr="006210B8">
        <w:t>net</w:t>
      </w:r>
      <w:r w:rsidR="00D00AB6">
        <w:t>]</w:t>
      </w:r>
      <w:r w:rsidR="006210B8" w:rsidRPr="006210B8">
        <w:t xml:space="preserve"> original issue </w:t>
      </w:r>
      <w:r w:rsidR="00D00AB6">
        <w:t>[premium/</w:t>
      </w:r>
      <w:r w:rsidR="00125FCC">
        <w:t>discount</w:t>
      </w:r>
      <w:r w:rsidR="00D00AB6">
        <w:t>]</w:t>
      </w:r>
      <w:r w:rsidR="00125FCC">
        <w:t xml:space="preserve"> </w:t>
      </w:r>
      <w:r w:rsidR="00A54AE0">
        <w:t xml:space="preserve">of </w:t>
      </w:r>
      <w:r w:rsidR="004C0D47" w:rsidRPr="006410FC">
        <w:t>$</w:t>
      </w:r>
      <w:r w:rsidR="004C0D47">
        <w:t>[__________]</w:t>
      </w:r>
      <w:r w:rsidRPr="006410FC">
        <w:t xml:space="preserve">.  </w:t>
      </w:r>
      <w:r w:rsidR="00D00AB6" w:rsidRPr="006410FC">
        <w:t xml:space="preserve">The purchase price for the </w:t>
      </w:r>
      <w:r w:rsidR="00D00AB6">
        <w:t xml:space="preserve">Series B </w:t>
      </w:r>
      <w:r w:rsidR="00D00AB6" w:rsidRPr="006410FC">
        <w:t xml:space="preserve">Bonds shall be </w:t>
      </w:r>
      <w:r w:rsidR="004C0D47" w:rsidRPr="006410FC">
        <w:t>$</w:t>
      </w:r>
      <w:r w:rsidR="004C0D47">
        <w:t>[__________]</w:t>
      </w:r>
      <w:r w:rsidR="00D00AB6" w:rsidRPr="006410FC">
        <w:t xml:space="preserve">, being the principal amount of the </w:t>
      </w:r>
      <w:r w:rsidR="00D00AB6">
        <w:t xml:space="preserve">Series B </w:t>
      </w:r>
      <w:r w:rsidR="00D00AB6" w:rsidRPr="006410FC">
        <w:t>Bonds (</w:t>
      </w:r>
      <w:r w:rsidR="00D00AB6">
        <w:t>$[PAR B]</w:t>
      </w:r>
      <w:r w:rsidR="00D00AB6" w:rsidRPr="006410FC">
        <w:t xml:space="preserve">) less an Underwriter’s discount of </w:t>
      </w:r>
      <w:r w:rsidR="004C0D47" w:rsidRPr="006410FC">
        <w:t>$</w:t>
      </w:r>
      <w:r w:rsidR="004C0D47">
        <w:t>[__________]</w:t>
      </w:r>
      <w:r w:rsidR="00D00AB6">
        <w:t xml:space="preserve"> less [</w:t>
      </w:r>
      <w:r w:rsidR="00D00AB6" w:rsidRPr="006210B8">
        <w:t>net</w:t>
      </w:r>
      <w:r w:rsidR="00D00AB6">
        <w:t>]</w:t>
      </w:r>
      <w:r w:rsidR="00D00AB6" w:rsidRPr="006210B8">
        <w:t xml:space="preserve"> original issue </w:t>
      </w:r>
      <w:r w:rsidR="00D00AB6">
        <w:t xml:space="preserve">[premium/discount] of </w:t>
      </w:r>
      <w:r w:rsidR="004C0D47" w:rsidRPr="006410FC">
        <w:t>$</w:t>
      </w:r>
      <w:r w:rsidR="004C0D47">
        <w:t>[__________]</w:t>
      </w:r>
      <w:r w:rsidR="00D00AB6" w:rsidRPr="006410FC">
        <w:t xml:space="preserve">.  </w:t>
      </w:r>
      <w:r w:rsidRPr="006410FC">
        <w:t xml:space="preserve">The date of payment by the </w:t>
      </w:r>
      <w:r w:rsidR="004F12C5" w:rsidRPr="006410FC">
        <w:t>Underwriter</w:t>
      </w:r>
      <w:r w:rsidRPr="006410FC">
        <w:t xml:space="preserve"> of the purchase price for the </w:t>
      </w:r>
      <w:r w:rsidR="00CE166D" w:rsidRPr="006410FC">
        <w:t>Bond</w:t>
      </w:r>
      <w:r w:rsidR="004F36C2" w:rsidRPr="006410FC">
        <w:t>s</w:t>
      </w:r>
      <w:r w:rsidRPr="006410FC">
        <w:t xml:space="preserve"> and delivery by the Issuer of the </w:t>
      </w:r>
      <w:r w:rsidR="00CE166D" w:rsidRPr="006410FC">
        <w:t>Bond</w:t>
      </w:r>
      <w:r w:rsidR="004F36C2" w:rsidRPr="006410FC">
        <w:t>s</w:t>
      </w:r>
      <w:r w:rsidRPr="006410FC">
        <w:t xml:space="preserve"> to the </w:t>
      </w:r>
      <w:r w:rsidR="004F12C5" w:rsidRPr="006410FC">
        <w:t>Underwriter</w:t>
      </w:r>
      <w:r w:rsidRPr="006410FC">
        <w:t xml:space="preserve"> or </w:t>
      </w:r>
      <w:r w:rsidR="00802E00" w:rsidRPr="006410FC">
        <w:t>its</w:t>
      </w:r>
      <w:r w:rsidRPr="006410FC">
        <w:t xml:space="preserve"> designee is referred to herein as the “Closing Date,” the hour and date of such delivery and payment is referred to herein as the “Closing Time,” and the other actions contemplated hereby to take place at the time of such payment and delivery being herein sometimes called the “Closing.”</w:t>
      </w:r>
    </w:p>
    <w:p w:rsidR="00306F34" w:rsidRPr="006410FC" w:rsidRDefault="00306F34" w:rsidP="00D11E2E">
      <w:pPr>
        <w:pStyle w:val="Heading1"/>
        <w:rPr>
          <w:szCs w:val="24"/>
        </w:rPr>
      </w:pPr>
      <w:r w:rsidRPr="006410FC">
        <w:rPr>
          <w:szCs w:val="24"/>
          <w:u w:val="single"/>
        </w:rPr>
        <w:t xml:space="preserve">The </w:t>
      </w:r>
      <w:r w:rsidR="00CE166D" w:rsidRPr="006410FC">
        <w:rPr>
          <w:szCs w:val="24"/>
          <w:u w:val="single"/>
        </w:rPr>
        <w:t>Bond</w:t>
      </w:r>
      <w:r w:rsidR="004F36C2" w:rsidRPr="006410FC">
        <w:rPr>
          <w:szCs w:val="24"/>
          <w:u w:val="single"/>
        </w:rPr>
        <w:t>s</w:t>
      </w:r>
      <w:r w:rsidRPr="006410FC">
        <w:rPr>
          <w:szCs w:val="24"/>
        </w:rPr>
        <w:t xml:space="preserve">.  The </w:t>
      </w:r>
      <w:r w:rsidR="00CE166D" w:rsidRPr="006410FC">
        <w:rPr>
          <w:szCs w:val="24"/>
        </w:rPr>
        <w:t>Bond</w:t>
      </w:r>
      <w:r w:rsidR="004F36C2" w:rsidRPr="006410FC">
        <w:rPr>
          <w:szCs w:val="24"/>
        </w:rPr>
        <w:t>s</w:t>
      </w:r>
      <w:r w:rsidRPr="006410FC">
        <w:rPr>
          <w:szCs w:val="24"/>
        </w:rPr>
        <w:t xml:space="preserve"> shall be described in, and shall be issued and secured pursuant to, the provisions of the Constitution and the laws of the State of California including the provisions of Chapter 8 of Part 5 of Division 31 of the Health and Safety Code of the State of California (the “Bond Law”).  The </w:t>
      </w:r>
      <w:r w:rsidR="00846CC3" w:rsidRPr="006410FC">
        <w:rPr>
          <w:szCs w:val="24"/>
        </w:rPr>
        <w:t>Bond</w:t>
      </w:r>
      <w:r w:rsidR="004F36C2" w:rsidRPr="006410FC">
        <w:rPr>
          <w:szCs w:val="24"/>
        </w:rPr>
        <w:t>s</w:t>
      </w:r>
      <w:r w:rsidRPr="006410FC">
        <w:rPr>
          <w:szCs w:val="24"/>
        </w:rPr>
        <w:t xml:space="preserve"> shall be issued and secured pursuant to an Indenture of Trust dated as of </w:t>
      </w:r>
      <w:r w:rsidR="004C0D47">
        <w:rPr>
          <w:szCs w:val="24"/>
        </w:rPr>
        <w:t xml:space="preserve">May </w:t>
      </w:r>
      <w:r w:rsidR="00D00AB6">
        <w:rPr>
          <w:szCs w:val="24"/>
        </w:rPr>
        <w:t>1, 2022</w:t>
      </w:r>
      <w:r w:rsidRPr="006410FC">
        <w:rPr>
          <w:szCs w:val="24"/>
        </w:rPr>
        <w:t xml:space="preserve"> (the “Indenture”), by and between the Issuer and </w:t>
      </w:r>
      <w:r w:rsidR="00A246A5">
        <w:rPr>
          <w:szCs w:val="24"/>
        </w:rPr>
        <w:t>U.S. Bank Trust Company,</w:t>
      </w:r>
      <w:r w:rsidR="00EF211D">
        <w:rPr>
          <w:szCs w:val="24"/>
        </w:rPr>
        <w:t xml:space="preserve"> National Association</w:t>
      </w:r>
      <w:r w:rsidRPr="006410FC">
        <w:rPr>
          <w:szCs w:val="24"/>
        </w:rPr>
        <w:t xml:space="preserve">, as trustee (the “Trustee”).  </w:t>
      </w:r>
    </w:p>
    <w:p w:rsidR="00306F34" w:rsidRPr="006410FC" w:rsidRDefault="00CB35C4">
      <w:pPr>
        <w:pStyle w:val="00BodyText5"/>
      </w:pPr>
      <w:r w:rsidRPr="006410FC">
        <w:t xml:space="preserve">The </w:t>
      </w:r>
      <w:r w:rsidR="00CE166D" w:rsidRPr="006410FC">
        <w:t>Bond</w:t>
      </w:r>
      <w:r w:rsidRPr="006410FC">
        <w:t xml:space="preserve">s are being issued for the purpose of making a loan (the “Loan”) to the Borrower in connection with its refinancing of the </w:t>
      </w:r>
      <w:r w:rsidR="00BC10A9">
        <w:t>Hacienda</w:t>
      </w:r>
      <w:r w:rsidR="00052B4D">
        <w:t xml:space="preserve"> Mobile Home Park </w:t>
      </w:r>
      <w:r w:rsidR="00EF211D" w:rsidRPr="00EF211D">
        <w:t xml:space="preserve">located at </w:t>
      </w:r>
      <w:r w:rsidR="00A23169" w:rsidRPr="00A23169">
        <w:t>4361 Mission Boulevard, Montclair, California</w:t>
      </w:r>
      <w:r w:rsidR="00A23169">
        <w:t>, the Villa Montclair Mobile Home Park located at 5580 Moreno St, Montclair, California</w:t>
      </w:r>
      <w:r w:rsidR="00052B4D">
        <w:t xml:space="preserve"> and the </w:t>
      </w:r>
      <w:r w:rsidR="00BC10A9">
        <w:t>Monterey Manor</w:t>
      </w:r>
      <w:r w:rsidR="00052B4D">
        <w:t xml:space="preserve"> Mobile Home Estates located at </w:t>
      </w:r>
      <w:r w:rsidR="00A23169" w:rsidRPr="00A23169">
        <w:t xml:space="preserve">11250 Ramona Avenue, Montclair, California </w:t>
      </w:r>
      <w:r w:rsidR="00052B4D">
        <w:t>(</w:t>
      </w:r>
      <w:r w:rsidR="00A23169">
        <w:t>collectively</w:t>
      </w:r>
      <w:r w:rsidR="00052B4D">
        <w:t>, the “Project</w:t>
      </w:r>
      <w:r w:rsidR="004C0D47">
        <w:t>s</w:t>
      </w:r>
      <w:r w:rsidR="00052B4D">
        <w:t>”)</w:t>
      </w:r>
      <w:r w:rsidRPr="006410FC">
        <w:t xml:space="preserve">, pursuant to a Loan Agreement, dated as of </w:t>
      </w:r>
      <w:r w:rsidR="004C0D47">
        <w:t xml:space="preserve">May </w:t>
      </w:r>
      <w:r w:rsidR="00D00AB6">
        <w:t>1, 2022</w:t>
      </w:r>
      <w:r w:rsidRPr="006410FC">
        <w:t xml:space="preserve">, by and among the Issuer, the Borrower and the Trustee (the “Loan Agreement”).  Proceeds of the Loan will be used to </w:t>
      </w:r>
      <w:r w:rsidR="00A246A5" w:rsidRPr="00A246A5">
        <w:t xml:space="preserve">(i) refund </w:t>
      </w:r>
      <w:r w:rsidR="00A246A5">
        <w:t>certain existing revenue bonds previously issued by the Issuer (</w:t>
      </w:r>
      <w:r w:rsidR="00A246A5" w:rsidRPr="00A246A5">
        <w:t xml:space="preserve">the </w:t>
      </w:r>
      <w:r w:rsidR="00A246A5">
        <w:t>“</w:t>
      </w:r>
      <w:r w:rsidR="00A246A5" w:rsidRPr="00A246A5">
        <w:t>Prior Bonds</w:t>
      </w:r>
      <w:r w:rsidR="00A246A5">
        <w:t>”)</w:t>
      </w:r>
      <w:r w:rsidR="00A246A5" w:rsidRPr="00A246A5">
        <w:t xml:space="preserve"> in full, (ii) refinance a loan from the </w:t>
      </w:r>
      <w:r w:rsidR="00A246A5">
        <w:t xml:space="preserve">Issuer </w:t>
      </w:r>
      <w:r w:rsidR="00A246A5" w:rsidRPr="00A246A5">
        <w:t>and loans from the Montclair Redevelopment Agency to the Borrower, (iii) finance additional renovations to be made to the Project</w:t>
      </w:r>
      <w:r w:rsidR="004C0D47">
        <w:t>s</w:t>
      </w:r>
      <w:r w:rsidR="00A246A5" w:rsidRPr="00A246A5">
        <w:t>; and (iv) make certain deposits specified in the Indenture</w:t>
      </w:r>
      <w:r w:rsidR="00A246A5">
        <w:t xml:space="preserve">, all </w:t>
      </w:r>
      <w:r w:rsidRPr="006410FC">
        <w:t xml:space="preserve">as described in the Official Statement (defined below).  </w:t>
      </w:r>
      <w:r w:rsidR="008341C2" w:rsidRPr="006410FC">
        <w:t>The</w:t>
      </w:r>
      <w:r w:rsidRPr="006410FC">
        <w:t xml:space="preserve"> </w:t>
      </w:r>
      <w:r w:rsidR="00F65457">
        <w:t>Project</w:t>
      </w:r>
      <w:r w:rsidR="004C0D47">
        <w:t>s</w:t>
      </w:r>
      <w:r w:rsidRPr="006410FC">
        <w:t xml:space="preserve"> </w:t>
      </w:r>
      <w:r w:rsidR="004C0D47">
        <w:t>are</w:t>
      </w:r>
      <w:r w:rsidRPr="006410FC">
        <w:t xml:space="preserve"> to be operated pursuant to </w:t>
      </w:r>
      <w:r w:rsidR="005A1E51" w:rsidRPr="005A1E51">
        <w:t xml:space="preserve">the Regulatory Agreement and Declaration of Restrictive Covenants, dated as of </w:t>
      </w:r>
      <w:r w:rsidR="004C0D47">
        <w:t xml:space="preserve">May </w:t>
      </w:r>
      <w:r w:rsidR="00D00AB6">
        <w:t>1, 2022</w:t>
      </w:r>
      <w:r w:rsidR="005A1E51" w:rsidRPr="005A1E51">
        <w:t xml:space="preserve">, by and among the Authority, the Trustee and the Borrower relating to the Hacienda Mobile Home Park, the Regulatory Agreement and Declaration of Restrictive Covenants, dated as of </w:t>
      </w:r>
      <w:r w:rsidR="004C0D47">
        <w:t xml:space="preserve">May </w:t>
      </w:r>
      <w:r w:rsidR="00D00AB6">
        <w:t>1, 2022</w:t>
      </w:r>
      <w:r w:rsidR="005A1E51" w:rsidRPr="005A1E51">
        <w:t xml:space="preserve">, by and among the Authority, the Trustee and the Borrower relating to the Villa Montclair Mobile Home Park and the Regulatory Agreement and Declaration of Restrictive Covenants, dated as of </w:t>
      </w:r>
      <w:r w:rsidR="004C0D47">
        <w:t xml:space="preserve">May </w:t>
      </w:r>
      <w:r w:rsidR="00D00AB6">
        <w:t>1, 2022</w:t>
      </w:r>
      <w:r w:rsidR="005A1E51" w:rsidRPr="005A1E51">
        <w:t xml:space="preserve">, by and among the Authority, the Trustee and the Borrower relating to the Monterey Manor Mobile Home Estates </w:t>
      </w:r>
      <w:r w:rsidRPr="006410FC">
        <w:t>(the “</w:t>
      </w:r>
      <w:r w:rsidR="00F65457">
        <w:t>Regulatory Agreement</w:t>
      </w:r>
      <w:r w:rsidR="005A1E51">
        <w:t>s</w:t>
      </w:r>
      <w:r w:rsidRPr="006410FC">
        <w:t xml:space="preserve">”).  As set forth in the Indenture, the </w:t>
      </w:r>
      <w:r w:rsidR="00CE166D" w:rsidRPr="006410FC">
        <w:t>Bond</w:t>
      </w:r>
      <w:r w:rsidRPr="006410FC">
        <w:t>s are secured by a pledge of Pledged Revenues (as defined in the Indenture)</w:t>
      </w:r>
      <w:r w:rsidR="00802E00" w:rsidRPr="006410FC">
        <w:t xml:space="preserve">. </w:t>
      </w:r>
    </w:p>
    <w:p w:rsidR="00306F34" w:rsidRPr="006410FC" w:rsidRDefault="00306F34">
      <w:pPr>
        <w:pStyle w:val="00BodyText5"/>
      </w:pPr>
      <w:r w:rsidRPr="006410FC">
        <w:lastRenderedPageBreak/>
        <w:t xml:space="preserve">Compliance by the Borrower with certain provisions of the Loan Agreement and the </w:t>
      </w:r>
      <w:r w:rsidR="00F65457">
        <w:t>Regulatory Agreement</w:t>
      </w:r>
      <w:r w:rsidR="004B264C">
        <w:t>s</w:t>
      </w:r>
      <w:r w:rsidRPr="006410FC">
        <w:t xml:space="preserve"> will be monitored for the Issuer by Wolf &amp; Company, Inc., acting as Oversight Agent under an Administration and Oversight Agreement, dated as of </w:t>
      </w:r>
      <w:r w:rsidR="004C0D47">
        <w:t xml:space="preserve">May </w:t>
      </w:r>
      <w:r w:rsidR="00D00AB6">
        <w:t>1, 2022</w:t>
      </w:r>
      <w:r w:rsidR="00E52DA1" w:rsidRPr="006410FC">
        <w:t>, among the Issuer, Wolf &amp; Company, Inc.</w:t>
      </w:r>
      <w:r w:rsidRPr="006410FC">
        <w:t xml:space="preserve"> and the Borrower</w:t>
      </w:r>
      <w:r w:rsidR="00E52DA1" w:rsidRPr="006410FC">
        <w:t xml:space="preserve"> (the “</w:t>
      </w:r>
      <w:r w:rsidR="00F504AA" w:rsidRPr="006410FC">
        <w:t>Oversight Agreement</w:t>
      </w:r>
      <w:r w:rsidR="00E52DA1" w:rsidRPr="006410FC">
        <w:t>”)</w:t>
      </w:r>
      <w:r w:rsidRPr="006410FC">
        <w:t xml:space="preserve">.  The Indenture, the Loan Agreement, the </w:t>
      </w:r>
      <w:r w:rsidR="00F65457">
        <w:t>Regulatory Agreement</w:t>
      </w:r>
      <w:r w:rsidR="004B264C">
        <w:t>s</w:t>
      </w:r>
      <w:r w:rsidRPr="006410FC">
        <w:t xml:space="preserve">, the </w:t>
      </w:r>
      <w:r w:rsidR="00F504AA" w:rsidRPr="006410FC">
        <w:t>Oversight Agreement</w:t>
      </w:r>
      <w:r w:rsidR="00861C46" w:rsidRPr="006410FC">
        <w:t xml:space="preserve">, </w:t>
      </w:r>
      <w:r w:rsidR="00F65457">
        <w:t xml:space="preserve">and </w:t>
      </w:r>
      <w:r w:rsidRPr="006410FC">
        <w:t>this Purchase Contract are referred to collectively herein as the “Basic Documents.”</w:t>
      </w:r>
    </w:p>
    <w:p w:rsidR="00306F34" w:rsidRPr="006410FC" w:rsidRDefault="00306F34">
      <w:pPr>
        <w:pStyle w:val="00BodyText5"/>
      </w:pPr>
      <w:r w:rsidRPr="006410FC">
        <w:t xml:space="preserve">The </w:t>
      </w:r>
      <w:r w:rsidR="00CE166D" w:rsidRPr="006410FC">
        <w:t>Bond</w:t>
      </w:r>
      <w:r w:rsidR="004F36C2" w:rsidRPr="006410FC">
        <w:t>s</w:t>
      </w:r>
      <w:r w:rsidRPr="006410FC">
        <w:t xml:space="preserve"> shall be payable and shall be subject to redemption as provided in the Indenture and described in the Preliminary Official Statement dated </w:t>
      </w:r>
      <w:r w:rsidR="00107165">
        <w:t>April [__]</w:t>
      </w:r>
      <w:r w:rsidR="00A246A5">
        <w:t>, 2022</w:t>
      </w:r>
      <w:r w:rsidR="00352D1D">
        <w:t xml:space="preserve"> </w:t>
      </w:r>
      <w:r w:rsidRPr="006410FC">
        <w:t>(the “Preliminary Official Statement”)</w:t>
      </w:r>
      <w:r w:rsidR="00352D1D">
        <w:t>,</w:t>
      </w:r>
      <w:r w:rsidRPr="006410FC">
        <w:t xml:space="preserve"> and the Official Statement dated of even date herewith, including the cover pages and the appendices thereto, as amended to conform to the terms of this Purchase Contract and with such changes and amendments thereto as have been mutually agreed to by the Issuer and the </w:t>
      </w:r>
      <w:r w:rsidR="004F12C5" w:rsidRPr="006410FC">
        <w:t>Underwriter</w:t>
      </w:r>
      <w:r w:rsidRPr="006410FC">
        <w:t>, are hereinafter referred to as the “Official Statement.”</w:t>
      </w:r>
    </w:p>
    <w:p w:rsidR="00E911EF" w:rsidRDefault="00306F34">
      <w:pPr>
        <w:pStyle w:val="Heading1"/>
        <w:rPr>
          <w:szCs w:val="24"/>
        </w:rPr>
      </w:pPr>
      <w:r w:rsidRPr="004500C2">
        <w:rPr>
          <w:szCs w:val="24"/>
          <w:u w:val="single"/>
        </w:rPr>
        <w:t xml:space="preserve">Public Offering by the </w:t>
      </w:r>
      <w:r w:rsidR="004F12C5" w:rsidRPr="004500C2">
        <w:rPr>
          <w:szCs w:val="24"/>
          <w:u w:val="single"/>
        </w:rPr>
        <w:t>Underwriter</w:t>
      </w:r>
      <w:r w:rsidR="004500C2" w:rsidRPr="004500C2">
        <w:rPr>
          <w:szCs w:val="24"/>
          <w:u w:val="single"/>
        </w:rPr>
        <w:t xml:space="preserve">; Establishment of </w:t>
      </w:r>
      <w:r w:rsidR="004500C2">
        <w:rPr>
          <w:szCs w:val="24"/>
          <w:u w:val="single"/>
        </w:rPr>
        <w:t xml:space="preserve">Series A Bonds </w:t>
      </w:r>
      <w:r w:rsidR="004500C2" w:rsidRPr="004500C2">
        <w:rPr>
          <w:szCs w:val="24"/>
          <w:u w:val="single"/>
        </w:rPr>
        <w:t>Issue Price</w:t>
      </w:r>
      <w:r w:rsidRPr="006410FC">
        <w:rPr>
          <w:szCs w:val="24"/>
        </w:rPr>
        <w:t xml:space="preserve">.  </w:t>
      </w:r>
    </w:p>
    <w:p w:rsidR="004500C2" w:rsidRDefault="004500C2" w:rsidP="00E911EF">
      <w:pPr>
        <w:pStyle w:val="00BodyText1"/>
        <w:jc w:val="both"/>
      </w:pPr>
      <w:r>
        <w:t>(a)</w:t>
      </w:r>
      <w:r w:rsidR="00E911EF">
        <w:tab/>
      </w:r>
      <w:r w:rsidR="00306F34" w:rsidRPr="006410FC">
        <w:t>It shall be a condition to the Issuer’s and the Underwriter</w:t>
      </w:r>
      <w:r w:rsidR="004F12C5" w:rsidRPr="006410FC">
        <w:t>’</w:t>
      </w:r>
      <w:r w:rsidR="009B00A5" w:rsidRPr="006410FC">
        <w:t>s</w:t>
      </w:r>
      <w:r w:rsidR="00306F34" w:rsidRPr="006410FC">
        <w:t xml:space="preserve"> respective obligations to sell and deliver, and to purchase, accept delivery of and pay for the </w:t>
      </w:r>
      <w:r w:rsidR="00CE166D" w:rsidRPr="006410FC">
        <w:t>Bond</w:t>
      </w:r>
      <w:r w:rsidR="004F36C2" w:rsidRPr="006410FC">
        <w:t>s</w:t>
      </w:r>
      <w:r w:rsidR="00306F34" w:rsidRPr="006410FC">
        <w:t xml:space="preserve"> that the entire principal amount of the </w:t>
      </w:r>
      <w:r w:rsidR="00CE166D" w:rsidRPr="006410FC">
        <w:t>Bond</w:t>
      </w:r>
      <w:r w:rsidR="004F36C2" w:rsidRPr="006410FC">
        <w:t>s</w:t>
      </w:r>
      <w:r w:rsidR="00306F34" w:rsidRPr="006410FC">
        <w:t xml:space="preserve"> shall be issued, sold and delivered by the Issuer and purchased, accepted and paid for by the </w:t>
      </w:r>
      <w:r w:rsidR="004F12C5" w:rsidRPr="006410FC">
        <w:t>Underwriter</w:t>
      </w:r>
      <w:r w:rsidR="00306F34" w:rsidRPr="006410FC">
        <w:t xml:space="preserve"> at the Closing.  </w:t>
      </w:r>
    </w:p>
    <w:p w:rsidR="004500C2" w:rsidRDefault="004500C2" w:rsidP="004500C2">
      <w:pPr>
        <w:pStyle w:val="00BodyText1"/>
        <w:jc w:val="both"/>
      </w:pPr>
      <w:r>
        <w:t>(b)</w:t>
      </w:r>
      <w:r>
        <w:tab/>
        <w:t xml:space="preserve">The Underwriter agrees to assist the Issuer in establishing the issue price of the Series A Bonds and shall execute and deliver to the Issuer at Closing an “issue price” or similar certificate, together with the supporting pricing wires or equivalent communications, substantially in the form attached hereto as </w:t>
      </w:r>
      <w:r w:rsidRPr="004500C2">
        <w:rPr>
          <w:u w:val="single"/>
        </w:rPr>
        <w:t xml:space="preserve">Exhibit </w:t>
      </w:r>
      <w:r w:rsidR="00E911EF">
        <w:rPr>
          <w:u w:val="single"/>
        </w:rPr>
        <w:t>E</w:t>
      </w:r>
      <w:r>
        <w:t>, with such modifications as may be appropriate or necessary, in the reasonable judgment of the Underwriter, the Issuer</w:t>
      </w:r>
      <w:r w:rsidR="00CD236C">
        <w:t>,</w:t>
      </w:r>
      <w:r>
        <w:t xml:space="preserve"> and Bond Counsel, to accurately reflect, as applicable, the sales price or prices or the initial offering price or prices to the public of the Series A Bonds.</w:t>
      </w:r>
    </w:p>
    <w:p w:rsidR="004500C2" w:rsidRDefault="004500C2" w:rsidP="004500C2">
      <w:pPr>
        <w:pStyle w:val="00BodyText1"/>
        <w:jc w:val="both"/>
      </w:pPr>
      <w:r>
        <w:t>(c)</w:t>
      </w:r>
      <w:r>
        <w:tab/>
        <w:t>The Issuer will treat the first price at which 10% of each maturity of the Series A Bonds (the “10% test”) is sold to the public as the issue price of that maturity.  At or promptly after the execution of this Purchase Contract, the Underwriter shall report to the Issuer the price or prices at which it has sold to the public each maturity of Series A Bonds.  For purposes of this Section, if Series A Bonds mature on the same date but have different interest rates, each separate CUSIP number within that maturity will be treated as a separate maturity of the Series A Bonds.</w:t>
      </w:r>
    </w:p>
    <w:p w:rsidR="004500C2" w:rsidRDefault="004500C2" w:rsidP="004500C2">
      <w:pPr>
        <w:pStyle w:val="00BodyText1"/>
        <w:jc w:val="both"/>
      </w:pPr>
      <w:r>
        <w:t>(d)</w:t>
      </w:r>
      <w:r>
        <w:tab/>
        <w:t xml:space="preserve">The Issuer and the Underwriter agree that the restrictions set forth in the next sentence shall apply to those maturities of the Series A Bonds identified on </w:t>
      </w:r>
      <w:r w:rsidRPr="004500C2">
        <w:rPr>
          <w:u w:val="single"/>
        </w:rPr>
        <w:t xml:space="preserve">Exhibit </w:t>
      </w:r>
      <w:r w:rsidR="00E911EF">
        <w:rPr>
          <w:u w:val="single"/>
        </w:rPr>
        <w:t>E</w:t>
      </w:r>
      <w:r>
        <w:t xml:space="preserve"> for which the 10% test has not been satisfied as of the date of this Purchase Contract, that will allow the Issuer to treat the initial offering price to the public of each such maturity as of the sale date as the issue price of that maturity (the “hold-the-offering-price rule”). So long as the hold-the-offering-price rule remains applicable to any maturity of the Series A Bonds, the Underwriter will neither offer nor sell unsold Series A Bonds of that maturity to any person at a price that is higher than the initial offering price to the public during the period starting on the sale date and ending on the earlier of the following: (A) the close of the fifth (5th) business day after the sale date; or (B) the date on which the Underwriter has sold at least 10% of that maturity of the Series A Bonds </w:t>
      </w:r>
      <w:r>
        <w:lastRenderedPageBreak/>
        <w:t>to the public at a price that is no higher than the initial offering price to the public. The Underwriter shall promptly advise the Issuer when the Underwriter has sold 10% of that maturity of the Series A Bonds to the public at a price that is no higher than the initial offering price to the public, if such sale occurs prior to the close of the fifth (5th) business day after the sale date.</w:t>
      </w:r>
    </w:p>
    <w:p w:rsidR="004500C2" w:rsidRDefault="004500C2" w:rsidP="004500C2">
      <w:pPr>
        <w:pStyle w:val="00BodyText1"/>
        <w:jc w:val="both"/>
      </w:pPr>
      <w:r>
        <w:t>(e)</w:t>
      </w:r>
      <w:r>
        <w:tab/>
        <w:t xml:space="preserve">The Underwriter confirms that it has offered the Series A Bonds to the public on or before the date of this Purchase Contract at the offering price or prices (the “initial offering price”), or at the corresponding yield or yields, set forth in </w:t>
      </w:r>
      <w:r w:rsidRPr="004500C2">
        <w:rPr>
          <w:u w:val="single"/>
        </w:rPr>
        <w:t xml:space="preserve">Exhibit </w:t>
      </w:r>
      <w:r w:rsidR="00E911EF">
        <w:rPr>
          <w:u w:val="single"/>
        </w:rPr>
        <w:t>E</w:t>
      </w:r>
      <w:r>
        <w:t xml:space="preserve"> attached hereto, except as otherwise set forth therein.  The Underwriter acknowledges that sales of any Series A Bonds to any person that is a related party to an Underwriter participating in the initial sale of the Series A Bonds to the public (each such term being used as defined below) shall not constitute sales to the public for purposes of this section.  Further, for purposes of this section:</w:t>
      </w:r>
    </w:p>
    <w:p w:rsidR="004500C2" w:rsidRDefault="004500C2" w:rsidP="004500C2">
      <w:pPr>
        <w:pStyle w:val="00BodyText1"/>
        <w:ind w:left="720"/>
        <w:jc w:val="both"/>
      </w:pPr>
      <w:r>
        <w:t>(i)</w:t>
      </w:r>
      <w:r>
        <w:tab/>
        <w:t>“public” means any person other than an underwriter or a related party,</w:t>
      </w:r>
    </w:p>
    <w:p w:rsidR="004500C2" w:rsidRDefault="004500C2" w:rsidP="004500C2">
      <w:pPr>
        <w:pStyle w:val="00BodyText1"/>
        <w:ind w:left="720"/>
        <w:jc w:val="both"/>
      </w:pPr>
      <w:r>
        <w:t>(ii)</w:t>
      </w:r>
      <w:r>
        <w:tab/>
        <w:t>“underwriter” means (A) any person that agrees pursuant to a written contract with the Issuer (or with the lead underwriter to form an underwriting syndicate) to participate in the initial sale of the Series A Bonds to the public and (B) any person that agrees pursuant to a written contract directly or indirectly with a person described in clause (A) to participate in the initial sale of the Series A Bonds to the public (including a member of a selling group or a party to a third-party distribution agreement participating in the initial sale of the Series A Bonds to the public), and</w:t>
      </w:r>
    </w:p>
    <w:p w:rsidR="00306F34" w:rsidRDefault="004500C2" w:rsidP="004500C2">
      <w:pPr>
        <w:pStyle w:val="00BodyText1"/>
        <w:ind w:left="720"/>
        <w:jc w:val="both"/>
      </w:pPr>
      <w:r>
        <w:t>(iii)</w:t>
      </w:r>
      <w:r>
        <w:tab/>
        <w:t>a purchaser of any of the Series A Bonds is a “related party” to an underwriter if the underwriter and the purchaser are subject, directly or indirectly, to (A) more than 50% common ownership of the voting power or the total value of their stock, if both entities are corporations (including direct ownership by one corporation of another), (B) more than 50% common ownership of their capital interests or profits interests, if both entities are partnerships (including direct ownership by one partnership of another), or (C)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w:t>
      </w:r>
    </w:p>
    <w:p w:rsidR="00306F34" w:rsidRPr="006410FC" w:rsidRDefault="00306F34">
      <w:pPr>
        <w:pStyle w:val="Heading1"/>
        <w:keepNext/>
        <w:rPr>
          <w:szCs w:val="24"/>
        </w:rPr>
      </w:pPr>
      <w:r w:rsidRPr="006410FC">
        <w:rPr>
          <w:szCs w:val="24"/>
          <w:u w:val="single"/>
        </w:rPr>
        <w:t>Official Statement, Delivery of Other Documents, Use of Documents</w:t>
      </w:r>
      <w:r w:rsidRPr="006410FC">
        <w:rPr>
          <w:szCs w:val="24"/>
        </w:rPr>
        <w:t>.</w:t>
      </w:r>
    </w:p>
    <w:p w:rsidR="00306F34" w:rsidRPr="006410FC" w:rsidRDefault="00306F34">
      <w:pPr>
        <w:pStyle w:val="Heading2"/>
        <w:rPr>
          <w:szCs w:val="24"/>
        </w:rPr>
      </w:pPr>
      <w:r w:rsidRPr="006410FC">
        <w:rPr>
          <w:szCs w:val="24"/>
        </w:rPr>
        <w:t xml:space="preserve">The Issuer and the Borrower hereby authorize the use by the </w:t>
      </w:r>
      <w:r w:rsidR="004F12C5" w:rsidRPr="006410FC">
        <w:rPr>
          <w:szCs w:val="24"/>
        </w:rPr>
        <w:t>Underwriter</w:t>
      </w:r>
      <w:r w:rsidRPr="006410FC">
        <w:rPr>
          <w:szCs w:val="24"/>
        </w:rPr>
        <w:t xml:space="preserve"> of the Preliminary Official Statement and the Official Statement (including any supplements or amendments to the Official Statement), the Basic Documents and the information therein contained, in connection with the public offering and sale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2"/>
        <w:rPr>
          <w:szCs w:val="24"/>
        </w:rPr>
      </w:pPr>
      <w:r w:rsidRPr="006410FC">
        <w:rPr>
          <w:szCs w:val="24"/>
        </w:rPr>
        <w:t xml:space="preserve">The </w:t>
      </w:r>
      <w:r w:rsidR="00CD236C">
        <w:rPr>
          <w:szCs w:val="24"/>
        </w:rPr>
        <w:t>Borrower</w:t>
      </w:r>
      <w:r w:rsidRPr="006410FC">
        <w:rPr>
          <w:szCs w:val="24"/>
        </w:rPr>
        <w:t xml:space="preserve"> shall deliver to the </w:t>
      </w:r>
      <w:r w:rsidR="004F12C5" w:rsidRPr="006410FC">
        <w:rPr>
          <w:szCs w:val="24"/>
        </w:rPr>
        <w:t>Underwriter</w:t>
      </w:r>
      <w:r w:rsidRPr="006410FC">
        <w:rPr>
          <w:szCs w:val="24"/>
        </w:rPr>
        <w:t xml:space="preserve">, within seven business days from the date hereof, such number of copies of the final Official Statement executed on behalf of and approved for distribution by the </w:t>
      </w:r>
      <w:r w:rsidR="00CD236C">
        <w:rPr>
          <w:szCs w:val="24"/>
        </w:rPr>
        <w:t>Borrower</w:t>
      </w:r>
      <w:r w:rsidRPr="006410FC">
        <w:rPr>
          <w:szCs w:val="24"/>
        </w:rPr>
        <w:t xml:space="preserve"> as the </w:t>
      </w:r>
      <w:r w:rsidR="004F12C5" w:rsidRPr="006410FC">
        <w:rPr>
          <w:szCs w:val="24"/>
        </w:rPr>
        <w:t>Underwriter</w:t>
      </w:r>
      <w:r w:rsidRPr="006410FC">
        <w:rPr>
          <w:szCs w:val="24"/>
        </w:rPr>
        <w:t xml:space="preserve"> may reasonably request in order for the </w:t>
      </w:r>
      <w:r w:rsidR="004F12C5" w:rsidRPr="006410FC">
        <w:rPr>
          <w:szCs w:val="24"/>
        </w:rPr>
        <w:t>Underwriter</w:t>
      </w:r>
      <w:r w:rsidRPr="006410FC">
        <w:rPr>
          <w:szCs w:val="24"/>
        </w:rPr>
        <w:t xml:space="preserve"> to comply with the rules of the Municipal Securities Rulemaking Board and Rule 15c2-12(b)(4) under the Securities Exchange Act of 1934.</w:t>
      </w:r>
    </w:p>
    <w:p w:rsidR="00306F34" w:rsidRDefault="00306F34">
      <w:pPr>
        <w:pStyle w:val="Heading2"/>
        <w:rPr>
          <w:szCs w:val="24"/>
        </w:rPr>
      </w:pPr>
      <w:r w:rsidRPr="006410FC">
        <w:rPr>
          <w:szCs w:val="24"/>
        </w:rPr>
        <w:lastRenderedPageBreak/>
        <w:t xml:space="preserve">As soon as practicable following receipt thereof, the </w:t>
      </w:r>
      <w:r w:rsidR="004F12C5" w:rsidRPr="006410FC">
        <w:rPr>
          <w:szCs w:val="24"/>
        </w:rPr>
        <w:t>Underwriter</w:t>
      </w:r>
      <w:r w:rsidRPr="006410FC">
        <w:rPr>
          <w:szCs w:val="24"/>
        </w:rPr>
        <w:t xml:space="preserve"> shall deliver the Official Statement, and any supplements or amendments thereto, to a nationally recognized municipal securities information repository.</w:t>
      </w:r>
    </w:p>
    <w:p w:rsidR="00CD236C" w:rsidRPr="00127DF3" w:rsidRDefault="00CD236C" w:rsidP="00CD236C">
      <w:pPr>
        <w:pStyle w:val="Heading2"/>
        <w:tabs>
          <w:tab w:val="clear" w:pos="2160"/>
        </w:tabs>
        <w:ind w:firstLine="720"/>
      </w:pPr>
      <w:r w:rsidRPr="005C0672">
        <w:t xml:space="preserve">The Underwriter and the Borrower each acknowledge that the Issuer has furnished for </w:t>
      </w:r>
      <w:r w:rsidRPr="00127DF3">
        <w:rPr>
          <w:szCs w:val="24"/>
        </w:rPr>
        <w:t>inclusion</w:t>
      </w:r>
      <w:r w:rsidRPr="005C0672">
        <w:t xml:space="preserve"> in the Preliminary </w:t>
      </w:r>
      <w:r>
        <w:t>Official Statement</w:t>
      </w:r>
      <w:r w:rsidRPr="005C0672">
        <w:t xml:space="preserve"> and the </w:t>
      </w:r>
      <w:r>
        <w:t>Official Statement</w:t>
      </w:r>
      <w:r w:rsidRPr="005C0672">
        <w:t xml:space="preserve"> only the statements and information appearing therein under the captions entitled “THE </w:t>
      </w:r>
      <w:r>
        <w:t>AUTHORITY</w:t>
      </w:r>
      <w:r w:rsidRPr="005C0672">
        <w:t xml:space="preserve">” and “LITIGATION – The </w:t>
      </w:r>
      <w:r>
        <w:t>Authority</w:t>
      </w:r>
      <w:r w:rsidRPr="005C0672">
        <w:t>,” solely as such information relates to the Issuer (collectively, the “</w:t>
      </w:r>
      <w:r w:rsidRPr="00AB620F">
        <w:t>Issuer Portion</w:t>
      </w:r>
      <w:r w:rsidRPr="005C0672">
        <w:t xml:space="preserve">”) and all other information contained in the Preliminary </w:t>
      </w:r>
      <w:r>
        <w:t>Official Statement</w:t>
      </w:r>
      <w:r w:rsidRPr="005C0672">
        <w:t xml:space="preserve"> or the </w:t>
      </w:r>
      <w:r>
        <w:t>Official Statement</w:t>
      </w:r>
      <w:r w:rsidRPr="005C0672">
        <w:t xml:space="preserve"> has been furnished by parties other than the Issuer, which other information has not been independently verified by the Issuer, its board members, </w:t>
      </w:r>
      <w:r>
        <w:t xml:space="preserve">its directors, its executive directors, its contractors, its program managers, its advisors, </w:t>
      </w:r>
      <w:r w:rsidRPr="005C0672">
        <w:t xml:space="preserve">its consultants, its employees, its agents or its counsel.  It is further understood and agreed that no obligation of the Issuer contained in this </w:t>
      </w:r>
      <w:r>
        <w:t>Purchase Contract</w:t>
      </w:r>
      <w:r w:rsidRPr="005C0672">
        <w:t xml:space="preserve">, the Bonds or the other </w:t>
      </w:r>
      <w:r>
        <w:t>Basic</w:t>
      </w:r>
      <w:r w:rsidRPr="005C0672">
        <w:t xml:space="preserve"> Documents shall give rise to any pecuniary liability of the Issuer.</w:t>
      </w:r>
    </w:p>
    <w:p w:rsidR="00306F34" w:rsidRPr="006410FC" w:rsidRDefault="00306F34">
      <w:pPr>
        <w:pStyle w:val="Heading1"/>
        <w:keepNext/>
        <w:rPr>
          <w:szCs w:val="24"/>
        </w:rPr>
      </w:pPr>
      <w:r w:rsidRPr="006410FC">
        <w:rPr>
          <w:szCs w:val="24"/>
          <w:u w:val="single"/>
        </w:rPr>
        <w:t>Representations of the Issuer</w:t>
      </w:r>
      <w:r w:rsidRPr="006410FC">
        <w:rPr>
          <w:szCs w:val="24"/>
        </w:rPr>
        <w:t>.  The Issuer represents as follows:</w:t>
      </w:r>
    </w:p>
    <w:p w:rsidR="00306F34" w:rsidRPr="006410FC" w:rsidRDefault="00306F34">
      <w:pPr>
        <w:pStyle w:val="Heading2"/>
        <w:rPr>
          <w:szCs w:val="24"/>
        </w:rPr>
      </w:pPr>
      <w:r w:rsidRPr="006410FC">
        <w:rPr>
          <w:szCs w:val="24"/>
        </w:rPr>
        <w:t>The Issuer is a joint exercise of powers authority duly organized and validly existing under the laws of the State of California.</w:t>
      </w:r>
    </w:p>
    <w:p w:rsidR="00306F34" w:rsidRPr="006410FC" w:rsidRDefault="00306F34">
      <w:pPr>
        <w:pStyle w:val="Heading2"/>
        <w:rPr>
          <w:szCs w:val="24"/>
        </w:rPr>
      </w:pPr>
      <w:r w:rsidRPr="006410FC">
        <w:rPr>
          <w:szCs w:val="24"/>
        </w:rPr>
        <w:t xml:space="preserve">The Issuer has full legal right, power and authority (i) to enter into the Basic Documents; (ii) to sell, issue and deliver the </w:t>
      </w:r>
      <w:r w:rsidR="00CE166D" w:rsidRPr="006410FC">
        <w:rPr>
          <w:szCs w:val="24"/>
        </w:rPr>
        <w:t>Bond</w:t>
      </w:r>
      <w:r w:rsidR="004F36C2" w:rsidRPr="006410FC">
        <w:rPr>
          <w:szCs w:val="24"/>
        </w:rPr>
        <w:t>s</w:t>
      </w:r>
      <w:r w:rsidRPr="006410FC">
        <w:rPr>
          <w:szCs w:val="24"/>
        </w:rPr>
        <w:t xml:space="preserve"> to the </w:t>
      </w:r>
      <w:r w:rsidR="004F12C5" w:rsidRPr="006410FC">
        <w:rPr>
          <w:szCs w:val="24"/>
        </w:rPr>
        <w:t>Underwriter</w:t>
      </w:r>
      <w:r w:rsidRPr="006410FC">
        <w:rPr>
          <w:szCs w:val="24"/>
        </w:rPr>
        <w:t xml:space="preserve"> as provided herein; and (iii) to carry out and consummate the transactions on its part contemplated by the Basic Documents.</w:t>
      </w:r>
    </w:p>
    <w:p w:rsidR="00306F34" w:rsidRPr="006410FC" w:rsidRDefault="00306F34">
      <w:pPr>
        <w:pStyle w:val="Heading2"/>
        <w:rPr>
          <w:szCs w:val="24"/>
        </w:rPr>
      </w:pPr>
      <w:r w:rsidRPr="006410FC">
        <w:rPr>
          <w:szCs w:val="24"/>
        </w:rPr>
        <w:t xml:space="preserve">By all necessary official action, the Issuer has duly authorized and approved the Basic Documents, has duly authorized and approved the Preliminary Official Statement and the Official Statement, has duly authorized and approved the execution and delivery of, and the performance by the Issuer of the obligations in connection with the issuance of the </w:t>
      </w:r>
      <w:r w:rsidR="00846CC3" w:rsidRPr="006410FC">
        <w:rPr>
          <w:szCs w:val="24"/>
        </w:rPr>
        <w:t>Bond</w:t>
      </w:r>
      <w:r w:rsidR="004F36C2" w:rsidRPr="006410FC">
        <w:rPr>
          <w:szCs w:val="24"/>
        </w:rPr>
        <w:t>s</w:t>
      </w:r>
      <w:r w:rsidRPr="006410FC">
        <w:rPr>
          <w:szCs w:val="24"/>
        </w:rPr>
        <w:t xml:space="preserve"> on its part contained in the </w:t>
      </w:r>
      <w:r w:rsidR="00846CC3" w:rsidRPr="006410FC">
        <w:rPr>
          <w:szCs w:val="24"/>
        </w:rPr>
        <w:t>Bond</w:t>
      </w:r>
      <w:r w:rsidR="004F36C2" w:rsidRPr="006410FC">
        <w:rPr>
          <w:szCs w:val="24"/>
        </w:rPr>
        <w:t>s</w:t>
      </w:r>
      <w:r w:rsidRPr="006410FC">
        <w:rPr>
          <w:szCs w:val="24"/>
        </w:rPr>
        <w:t xml:space="preserve"> and the Basic Documents and the consummation by it of all other transactions on its part contemplated by the Basic Documents.</w:t>
      </w:r>
    </w:p>
    <w:p w:rsidR="00306F34" w:rsidRPr="006410FC" w:rsidRDefault="00306F34">
      <w:pPr>
        <w:pStyle w:val="Heading2"/>
        <w:rPr>
          <w:szCs w:val="24"/>
        </w:rPr>
      </w:pPr>
      <w:r w:rsidRPr="006410FC">
        <w:rPr>
          <w:szCs w:val="24"/>
        </w:rPr>
        <w:t xml:space="preserve">The Issuer is not in any material respect in breach of or default under any applicable constitutional provision, law or administrative regulation of any state or of the United States, or any agency or instrumentality of either, or any applicable judgment or decree, or any material loan agreement, indenture, bond, note, resolution, agreement (including, without limitation, the Indenture) or other instrument to which the Issuer is a party which breach or default has or may have a material and adverse effect on the ability of the Issuer to perform its obligations under the Basic Documents, and no event has occurred and is continuing which with the passage of time or the giving of notice, or both, would constitute such a default or event of default under any such instrument; and the execution and delivery of the </w:t>
      </w:r>
      <w:r w:rsidR="00846CC3" w:rsidRPr="006410FC">
        <w:rPr>
          <w:szCs w:val="24"/>
        </w:rPr>
        <w:t>Bond</w:t>
      </w:r>
      <w:r w:rsidR="004F36C2" w:rsidRPr="006410FC">
        <w:rPr>
          <w:szCs w:val="24"/>
        </w:rPr>
        <w:t>s</w:t>
      </w:r>
      <w:r w:rsidRPr="006410FC">
        <w:rPr>
          <w:szCs w:val="24"/>
        </w:rPr>
        <w:t xml:space="preserve">, the execution and delivery of the Basic Documents, and compliance with the provisions on the Issuer’s part contained therein, will not conflict in any material way with or constitute a material breach of or a material default under any constitutional provision, law, administrative regulation, judgment, decree, loan agreement, indenture, bond, note, resolution, agreement or other instrument to which the Issuer is a party nor will any such execution, delivery, adoption or compliance result in the creation or imposition of any lien, charge or other security interest or encumbrance of any nature whatsoever </w:t>
      </w:r>
      <w:r w:rsidRPr="006410FC">
        <w:rPr>
          <w:szCs w:val="24"/>
        </w:rPr>
        <w:lastRenderedPageBreak/>
        <w:t xml:space="preserve">upon any of the property or assets of the Issuer or under the terms of any such law, regulation or instrument, except as provided by the </w:t>
      </w:r>
      <w:r w:rsidR="00846CC3" w:rsidRPr="006410FC">
        <w:rPr>
          <w:szCs w:val="24"/>
        </w:rPr>
        <w:t>Bond</w:t>
      </w:r>
      <w:r w:rsidR="004F36C2" w:rsidRPr="006410FC">
        <w:rPr>
          <w:szCs w:val="24"/>
        </w:rPr>
        <w:t>s</w:t>
      </w:r>
      <w:r w:rsidRPr="006410FC">
        <w:rPr>
          <w:szCs w:val="24"/>
        </w:rPr>
        <w:t xml:space="preserve"> and the Basic Documents.</w:t>
      </w:r>
    </w:p>
    <w:p w:rsidR="00306F34" w:rsidRPr="006410FC" w:rsidRDefault="00306F34">
      <w:pPr>
        <w:pStyle w:val="Heading2"/>
        <w:rPr>
          <w:szCs w:val="24"/>
        </w:rPr>
      </w:pPr>
      <w:r w:rsidRPr="006410FC">
        <w:rPr>
          <w:szCs w:val="24"/>
        </w:rPr>
        <w:t xml:space="preserve">Except as described or contemplated in the Official Statement, all authorizations, approvals, licenses, permits, consents and orders of any governmental authority, legislative body, board, agency or commission having jurisdiction of the matter which are required to be obtained by the Issuer for the due authorization by, or which would constitute a condition precedent to or the absence of which would materially adversely affect the due performance by, the Issuer of its obligations under this Purchase Contract and the other Basic Documents have been duly obtained, except for such approvals, consents and orders as may be required under the federal securities laws or the Blue Sky or securities laws of any state in connection with the offering and sale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2"/>
        <w:rPr>
          <w:szCs w:val="24"/>
        </w:rPr>
      </w:pPr>
      <w:r w:rsidRPr="006410FC">
        <w:rPr>
          <w:szCs w:val="24"/>
        </w:rPr>
        <w:t xml:space="preserve">The </w:t>
      </w:r>
      <w:r w:rsidR="00CE166D" w:rsidRPr="006410FC">
        <w:rPr>
          <w:szCs w:val="24"/>
        </w:rPr>
        <w:t>Bond</w:t>
      </w:r>
      <w:r w:rsidR="004F36C2" w:rsidRPr="006410FC">
        <w:rPr>
          <w:szCs w:val="24"/>
        </w:rPr>
        <w:t>s</w:t>
      </w:r>
      <w:r w:rsidRPr="006410FC">
        <w:rPr>
          <w:szCs w:val="24"/>
        </w:rPr>
        <w:t xml:space="preserve"> when issued will conform to the descriptions thereof contained in the Official Statement; and the Indenture when executed will conform to the descriptions thereof contained in the Official Statement.</w:t>
      </w:r>
    </w:p>
    <w:p w:rsidR="00306F34" w:rsidRPr="006410FC" w:rsidRDefault="00306F34">
      <w:pPr>
        <w:pStyle w:val="Heading2"/>
        <w:rPr>
          <w:szCs w:val="24"/>
        </w:rPr>
      </w:pPr>
      <w:r w:rsidRPr="006410FC">
        <w:rPr>
          <w:szCs w:val="24"/>
        </w:rPr>
        <w:t xml:space="preserve">The </w:t>
      </w:r>
      <w:r w:rsidR="00CE166D" w:rsidRPr="006410FC">
        <w:rPr>
          <w:szCs w:val="24"/>
        </w:rPr>
        <w:t>Bond</w:t>
      </w:r>
      <w:r w:rsidR="004F36C2" w:rsidRPr="006410FC">
        <w:rPr>
          <w:szCs w:val="24"/>
        </w:rPr>
        <w:t>s</w:t>
      </w:r>
      <w:r w:rsidRPr="006410FC">
        <w:rPr>
          <w:szCs w:val="24"/>
        </w:rPr>
        <w:t xml:space="preserve">, when issued, authenticated and delivered in accordance with the Indenture, and sold to the </w:t>
      </w:r>
      <w:r w:rsidR="004F12C5" w:rsidRPr="006410FC">
        <w:rPr>
          <w:szCs w:val="24"/>
        </w:rPr>
        <w:t>Underwriter</w:t>
      </w:r>
      <w:r w:rsidRPr="006410FC">
        <w:rPr>
          <w:szCs w:val="24"/>
        </w:rPr>
        <w:t xml:space="preserve"> as provided herein, will be validly issued and outstanding obligations of the Issuer, entitled to the benefits of the Indenture, and upon such issuance and delivery, the Indenture will provide for the benefit of the owners from time to time of the </w:t>
      </w:r>
      <w:r w:rsidR="00CE166D" w:rsidRPr="006410FC">
        <w:rPr>
          <w:szCs w:val="24"/>
        </w:rPr>
        <w:t>Bond</w:t>
      </w:r>
      <w:r w:rsidR="004F36C2" w:rsidRPr="006410FC">
        <w:rPr>
          <w:szCs w:val="24"/>
        </w:rPr>
        <w:t>s</w:t>
      </w:r>
      <w:r w:rsidRPr="006410FC">
        <w:rPr>
          <w:szCs w:val="24"/>
        </w:rPr>
        <w:t>, the legally valid and binding pledges, liens and security interests it purports to create.</w:t>
      </w:r>
    </w:p>
    <w:p w:rsidR="00306F34" w:rsidRPr="006410FC" w:rsidRDefault="00306F34">
      <w:pPr>
        <w:pStyle w:val="Heading2"/>
        <w:rPr>
          <w:szCs w:val="24"/>
        </w:rPr>
      </w:pPr>
      <w:r w:rsidRPr="006410FC">
        <w:rPr>
          <w:szCs w:val="24"/>
        </w:rPr>
        <w:t xml:space="preserve">As of the date hereof, there is no action, suit, proceeding, inquiry or investigation, notice of which has been served on the Issuer, at law or in equity before or by any court, government agency, public board or body, pending or to the best knowledge of the officer of the Issuer executing this Purchase Contract, threatened against the Issuer, affecting the existence of the Issuer or the </w:t>
      </w:r>
      <w:r w:rsidR="00562BDB" w:rsidRPr="006410FC">
        <w:rPr>
          <w:szCs w:val="24"/>
        </w:rPr>
        <w:t xml:space="preserve">qualification of any member of the Issuer to serve as an </w:t>
      </w:r>
      <w:r w:rsidRPr="006410FC">
        <w:rPr>
          <w:szCs w:val="24"/>
        </w:rPr>
        <w:t>officer</w:t>
      </w:r>
      <w:r w:rsidR="00562BDB" w:rsidRPr="006410FC">
        <w:rPr>
          <w:szCs w:val="24"/>
        </w:rPr>
        <w:t xml:space="preserve"> of the Issuer</w:t>
      </w:r>
      <w:r w:rsidRPr="006410FC">
        <w:rPr>
          <w:szCs w:val="24"/>
        </w:rPr>
        <w:t xml:space="preserve">, or affecting or seeking to prohibit, restrain or enjoin the sale, issuance or delivery of the </w:t>
      </w:r>
      <w:r w:rsidR="00CE166D" w:rsidRPr="006410FC">
        <w:rPr>
          <w:szCs w:val="24"/>
        </w:rPr>
        <w:t>Bond</w:t>
      </w:r>
      <w:r w:rsidR="004F36C2" w:rsidRPr="006410FC">
        <w:rPr>
          <w:szCs w:val="24"/>
        </w:rPr>
        <w:t>s</w:t>
      </w:r>
      <w:r w:rsidRPr="006410FC">
        <w:rPr>
          <w:szCs w:val="24"/>
        </w:rPr>
        <w:t xml:space="preserve"> or the pledge and lien on the Revenues pursuant to the Indenture, or contesting or affecting as to the Issuer the validity or enforceability of the </w:t>
      </w:r>
      <w:r w:rsidR="00CE166D" w:rsidRPr="006410FC">
        <w:rPr>
          <w:szCs w:val="24"/>
        </w:rPr>
        <w:t>Bond</w:t>
      </w:r>
      <w:r w:rsidR="004F36C2" w:rsidRPr="006410FC">
        <w:rPr>
          <w:szCs w:val="24"/>
        </w:rPr>
        <w:t>s</w:t>
      </w:r>
      <w:r w:rsidRPr="006410FC">
        <w:rPr>
          <w:szCs w:val="24"/>
        </w:rPr>
        <w:t xml:space="preserve"> or the Basic Documents,</w:t>
      </w:r>
      <w:r w:rsidR="003B1E96">
        <w:rPr>
          <w:szCs w:val="24"/>
        </w:rPr>
        <w:t xml:space="preserve"> or contesting the tax-exempt status of the interest on the Series A Bonds,</w:t>
      </w:r>
      <w:r w:rsidRPr="006410FC">
        <w:rPr>
          <w:szCs w:val="24"/>
        </w:rPr>
        <w:t xml:space="preserve"> or contesting the completeness or accuracy of the Preliminary Official Statement or the Official Statement, or contesting the powers of the Issuer with respect to the issuance of the </w:t>
      </w:r>
      <w:r w:rsidR="00CE166D" w:rsidRPr="006410FC">
        <w:rPr>
          <w:szCs w:val="24"/>
        </w:rPr>
        <w:t>Bond</w:t>
      </w:r>
      <w:r w:rsidR="004F36C2" w:rsidRPr="006410FC">
        <w:rPr>
          <w:szCs w:val="24"/>
        </w:rPr>
        <w:t>s</w:t>
      </w:r>
      <w:r w:rsidRPr="006410FC">
        <w:rPr>
          <w:szCs w:val="24"/>
        </w:rPr>
        <w:t>, or the execution and delivery or performance by the Issuer of the Basic Documents, or in any way contesting or challenging the consummation of the transactions contemplated hereby or thereby.</w:t>
      </w:r>
    </w:p>
    <w:p w:rsidR="00306F34" w:rsidRPr="006410FC" w:rsidRDefault="00306F34">
      <w:pPr>
        <w:pStyle w:val="Heading2"/>
        <w:rPr>
          <w:szCs w:val="24"/>
        </w:rPr>
      </w:pPr>
      <w:r w:rsidRPr="006410FC">
        <w:rPr>
          <w:szCs w:val="24"/>
        </w:rPr>
        <w:t xml:space="preserve">The Issuer will furnish such information, execute such instruments and take such other action in cooperation with the </w:t>
      </w:r>
      <w:r w:rsidR="004F12C5" w:rsidRPr="006410FC">
        <w:rPr>
          <w:szCs w:val="24"/>
        </w:rPr>
        <w:t>Underwriter</w:t>
      </w:r>
      <w:r w:rsidRPr="006410FC">
        <w:rPr>
          <w:szCs w:val="24"/>
        </w:rPr>
        <w:t xml:space="preserve"> as the </w:t>
      </w:r>
      <w:r w:rsidR="004F12C5" w:rsidRPr="006410FC">
        <w:rPr>
          <w:szCs w:val="24"/>
        </w:rPr>
        <w:t>Underwriter</w:t>
      </w:r>
      <w:r w:rsidRPr="006410FC">
        <w:rPr>
          <w:szCs w:val="24"/>
        </w:rPr>
        <w:t xml:space="preserve"> may reasonably request in order (i) to qualify the </w:t>
      </w:r>
      <w:r w:rsidR="00CE166D" w:rsidRPr="006410FC">
        <w:rPr>
          <w:szCs w:val="24"/>
        </w:rPr>
        <w:t>Bond</w:t>
      </w:r>
      <w:r w:rsidR="004F36C2" w:rsidRPr="006410FC">
        <w:rPr>
          <w:szCs w:val="24"/>
        </w:rPr>
        <w:t>s</w:t>
      </w:r>
      <w:r w:rsidRPr="006410FC">
        <w:rPr>
          <w:szCs w:val="24"/>
        </w:rPr>
        <w:t xml:space="preserve"> for offer and sale under the Blue Sky or other securities laws and regulations of such states and other jurisdictions of the United States as the </w:t>
      </w:r>
      <w:r w:rsidR="004F12C5" w:rsidRPr="006410FC">
        <w:rPr>
          <w:szCs w:val="24"/>
        </w:rPr>
        <w:t>Underwriter</w:t>
      </w:r>
      <w:r w:rsidRPr="006410FC">
        <w:rPr>
          <w:szCs w:val="24"/>
        </w:rPr>
        <w:t xml:space="preserve"> may designate and (ii) to determine the eligibility of the </w:t>
      </w:r>
      <w:r w:rsidR="00CE166D" w:rsidRPr="006410FC">
        <w:rPr>
          <w:szCs w:val="24"/>
        </w:rPr>
        <w:t>Bond</w:t>
      </w:r>
      <w:r w:rsidR="004F36C2" w:rsidRPr="006410FC">
        <w:rPr>
          <w:szCs w:val="24"/>
        </w:rPr>
        <w:t>s</w:t>
      </w:r>
      <w:r w:rsidRPr="006410FC">
        <w:rPr>
          <w:szCs w:val="24"/>
        </w:rPr>
        <w:t xml:space="preserve"> for investment under the laws of such states and other jurisdictions, and will use its best efforts to continue such qualifications in effect so long as required for the distribution of the </w:t>
      </w:r>
      <w:r w:rsidR="00CE166D" w:rsidRPr="006410FC">
        <w:rPr>
          <w:szCs w:val="24"/>
        </w:rPr>
        <w:t>Bond</w:t>
      </w:r>
      <w:r w:rsidR="004F36C2" w:rsidRPr="006410FC">
        <w:rPr>
          <w:szCs w:val="24"/>
        </w:rPr>
        <w:t>s</w:t>
      </w:r>
      <w:r w:rsidRPr="006410FC">
        <w:rPr>
          <w:szCs w:val="24"/>
        </w:rPr>
        <w:t xml:space="preserve"> (provided, however, that the Issuer shall not be required to execute a general or special consent to service of process or qualify to do business in connection with any such qualification or determination in any jurisdiction, and provided </w:t>
      </w:r>
      <w:r w:rsidRPr="006410FC">
        <w:rPr>
          <w:szCs w:val="24"/>
        </w:rPr>
        <w:lastRenderedPageBreak/>
        <w:t xml:space="preserve">further, that the </w:t>
      </w:r>
      <w:r w:rsidR="004F12C5" w:rsidRPr="006410FC">
        <w:rPr>
          <w:szCs w:val="24"/>
        </w:rPr>
        <w:t>Underwriter</w:t>
      </w:r>
      <w:r w:rsidRPr="006410FC">
        <w:rPr>
          <w:szCs w:val="24"/>
        </w:rPr>
        <w:t xml:space="preserve"> shall bear all costs in connection with the Issuer’s action under (i) and (ii) herein).</w:t>
      </w:r>
      <w:r w:rsidR="00E46C90">
        <w:rPr>
          <w:szCs w:val="24"/>
        </w:rPr>
        <w:t xml:space="preserve">  </w:t>
      </w:r>
      <w:bookmarkStart w:id="2" w:name="_GoBack"/>
      <w:bookmarkEnd w:id="2"/>
    </w:p>
    <w:p w:rsidR="00306F34" w:rsidRPr="006410FC" w:rsidRDefault="00306F34">
      <w:pPr>
        <w:pStyle w:val="Heading2"/>
        <w:rPr>
          <w:szCs w:val="24"/>
        </w:rPr>
      </w:pPr>
      <w:r w:rsidRPr="006410FC">
        <w:rPr>
          <w:szCs w:val="24"/>
        </w:rPr>
        <w:t xml:space="preserve">As of the date thereof, </w:t>
      </w:r>
      <w:r w:rsidR="00CD236C">
        <w:rPr>
          <w:szCs w:val="24"/>
        </w:rPr>
        <w:t xml:space="preserve">the information contained in the Issuer Portion of </w:t>
      </w:r>
      <w:r w:rsidRPr="006410FC">
        <w:rPr>
          <w:szCs w:val="24"/>
        </w:rPr>
        <w:t xml:space="preserve">the Preliminary Official Statement does not, except for the omission of certain information permitted to be omitted </w:t>
      </w:r>
      <w:r w:rsidR="003F1791" w:rsidRPr="006410FC">
        <w:rPr>
          <w:szCs w:val="24"/>
        </w:rPr>
        <w:t>in accordance with Rule 15(c)2-</w:t>
      </w:r>
      <w:r w:rsidRPr="006410FC">
        <w:rPr>
          <w:szCs w:val="24"/>
        </w:rPr>
        <w:t xml:space="preserve">12, contain any untrue statement of a material fact or omit to state a material fact necessary to make the statements therein with respect to the Issuer, in light of the circumstances under which they were made, not misleading, provided, however, that these representations and warranties of the Issuer shall apply only to the information contained in </w:t>
      </w:r>
      <w:r w:rsidR="00C52062">
        <w:rPr>
          <w:szCs w:val="24"/>
        </w:rPr>
        <w:t xml:space="preserve">the Issuer portion of </w:t>
      </w:r>
      <w:r w:rsidRPr="006410FC">
        <w:rPr>
          <w:szCs w:val="24"/>
        </w:rPr>
        <w:t>the Official Statement relating to the Issuer.</w:t>
      </w:r>
    </w:p>
    <w:p w:rsidR="00306F34" w:rsidRPr="006410FC" w:rsidRDefault="00306F34">
      <w:pPr>
        <w:pStyle w:val="Heading2"/>
        <w:rPr>
          <w:szCs w:val="24"/>
        </w:rPr>
      </w:pPr>
      <w:r w:rsidRPr="006410FC">
        <w:rPr>
          <w:szCs w:val="24"/>
        </w:rPr>
        <w:t xml:space="preserve">At the time of the Issuer’s acceptance hereof, and (unless an event occurs of the nature described in paragraph (m) of this Section 5) at all times subsequent thereto up to and including the </w:t>
      </w:r>
      <w:r w:rsidR="00CD236C">
        <w:rPr>
          <w:szCs w:val="24"/>
        </w:rPr>
        <w:t>Closing Date</w:t>
      </w:r>
      <w:r w:rsidRPr="006410FC">
        <w:rPr>
          <w:szCs w:val="24"/>
        </w:rPr>
        <w:t>,</w:t>
      </w:r>
      <w:r w:rsidR="00CD236C">
        <w:rPr>
          <w:szCs w:val="24"/>
        </w:rPr>
        <w:t xml:space="preserve"> the information contained in the Issuer Portion of</w:t>
      </w:r>
      <w:r w:rsidRPr="006410FC">
        <w:rPr>
          <w:szCs w:val="24"/>
        </w:rPr>
        <w:t xml:space="preserve"> the Official Statement does not and will not contain any untrue statement of a material fact or omit to state a material fact necessary to make the statements therein, in light of the circumstances under which they were made, not misleading; provided, however, that these representations and warranties of the Issuer shall apply only to the information contained in the Official Statement relating to the Issuer.</w:t>
      </w:r>
    </w:p>
    <w:p w:rsidR="00306F34" w:rsidRPr="006410FC" w:rsidRDefault="00306F34">
      <w:pPr>
        <w:pStyle w:val="Heading2"/>
        <w:rPr>
          <w:szCs w:val="24"/>
        </w:rPr>
      </w:pPr>
      <w:r w:rsidRPr="006410FC">
        <w:rPr>
          <w:szCs w:val="24"/>
        </w:rPr>
        <w:t>If the Official Statement is supplemented or amended pursuant to paragraph (</w:t>
      </w:r>
      <w:r w:rsidR="001A0F50" w:rsidRPr="006410FC">
        <w:rPr>
          <w:szCs w:val="24"/>
        </w:rPr>
        <w:t>m</w:t>
      </w:r>
      <w:r w:rsidRPr="006410FC">
        <w:rPr>
          <w:szCs w:val="24"/>
        </w:rPr>
        <w:t xml:space="preserve">) of this Section 5, at the time of each supplement or amendment thereto and (unless subsequently again supplemented or amended pursuant to such paragraph) at all times subsequent thereto up to and including the </w:t>
      </w:r>
      <w:r w:rsidR="00CD236C">
        <w:rPr>
          <w:szCs w:val="24"/>
        </w:rPr>
        <w:t>Closing Date</w:t>
      </w:r>
      <w:r w:rsidRPr="006410FC">
        <w:rPr>
          <w:szCs w:val="24"/>
        </w:rPr>
        <w:t xml:space="preserve">, </w:t>
      </w:r>
      <w:r w:rsidR="00CD236C">
        <w:rPr>
          <w:szCs w:val="24"/>
        </w:rPr>
        <w:t>the information contained in the Issuer Portion of</w:t>
      </w:r>
      <w:r w:rsidR="00CD236C" w:rsidRPr="006410FC">
        <w:rPr>
          <w:szCs w:val="24"/>
        </w:rPr>
        <w:t xml:space="preserve"> </w:t>
      </w:r>
      <w:r w:rsidRPr="006410FC">
        <w:rPr>
          <w:szCs w:val="24"/>
        </w:rPr>
        <w:t>the Official Statement as so supplemented or amended will not contain any untrue statement of a material fact or omit to state a material fact necessary to make the statements therein, in light of the circumstances under which they were made, not misleading; provided, however, that these representations of the Issuer shall apply only to the information contained in the Official Statement relating to the Issuer.</w:t>
      </w:r>
    </w:p>
    <w:p w:rsidR="00306F34" w:rsidRDefault="00306F34">
      <w:pPr>
        <w:pStyle w:val="Heading2"/>
        <w:rPr>
          <w:szCs w:val="24"/>
        </w:rPr>
      </w:pPr>
      <w:r w:rsidRPr="006410FC">
        <w:rPr>
          <w:szCs w:val="24"/>
        </w:rPr>
        <w:t xml:space="preserve">If between the date of this Purchase Contract and that date which is 25 days after the end of the underwriting period (as determined in accordance with Section 7 hereof) any event known to the Issuer shall occur affecting the Issuer which might adversely affect the marketability of the </w:t>
      </w:r>
      <w:r w:rsidR="00CE166D" w:rsidRPr="006410FC">
        <w:rPr>
          <w:szCs w:val="24"/>
        </w:rPr>
        <w:t>Bond</w:t>
      </w:r>
      <w:r w:rsidR="004F36C2" w:rsidRPr="006410FC">
        <w:rPr>
          <w:szCs w:val="24"/>
        </w:rPr>
        <w:t>s</w:t>
      </w:r>
      <w:r w:rsidRPr="006410FC">
        <w:rPr>
          <w:szCs w:val="24"/>
        </w:rPr>
        <w:t xml:space="preserve"> or the market prices thereof, or which might cause</w:t>
      </w:r>
      <w:r w:rsidR="00CD236C" w:rsidRPr="00CD236C">
        <w:rPr>
          <w:szCs w:val="24"/>
        </w:rPr>
        <w:t xml:space="preserve"> </w:t>
      </w:r>
      <w:r w:rsidR="00CD236C">
        <w:rPr>
          <w:szCs w:val="24"/>
        </w:rPr>
        <w:t>the information contained in the Issuer Portion of</w:t>
      </w:r>
      <w:r w:rsidRPr="006410FC">
        <w:rPr>
          <w:szCs w:val="24"/>
        </w:rPr>
        <w:t xml:space="preserve"> the Official Statement, as then supplemented or amended, to contain any untrue statement of a material fact or to omit to state a material fact necessary to make the statements therein, in light of the circumstances under which they were made, not misleading, the Issuer shall notify the </w:t>
      </w:r>
      <w:r w:rsidR="004F12C5" w:rsidRPr="006410FC">
        <w:rPr>
          <w:szCs w:val="24"/>
        </w:rPr>
        <w:t>Underwriter</w:t>
      </w:r>
      <w:r w:rsidRPr="006410FC">
        <w:rPr>
          <w:szCs w:val="24"/>
        </w:rPr>
        <w:t xml:space="preserve"> thereof, and if in the opinion of the </w:t>
      </w:r>
      <w:r w:rsidR="004F12C5" w:rsidRPr="006410FC">
        <w:rPr>
          <w:szCs w:val="24"/>
        </w:rPr>
        <w:t>Underwriter</w:t>
      </w:r>
      <w:r w:rsidRPr="006410FC">
        <w:rPr>
          <w:szCs w:val="24"/>
        </w:rPr>
        <w:t xml:space="preserve"> such event requires the preparation and publication of a supplement or amendment to the Official Statement, the Issuer will at the expense of the Borrower prepare and furnish to the </w:t>
      </w:r>
      <w:r w:rsidR="004F12C5" w:rsidRPr="006410FC">
        <w:rPr>
          <w:szCs w:val="24"/>
        </w:rPr>
        <w:t>Underwriter</w:t>
      </w:r>
      <w:r w:rsidRPr="006410FC">
        <w:rPr>
          <w:szCs w:val="24"/>
        </w:rPr>
        <w:t xml:space="preserve"> a reasonable number of copies of such supplement to, or amendment of, the Official Statement in a form and in a manner approved by the </w:t>
      </w:r>
      <w:r w:rsidR="004F12C5" w:rsidRPr="006410FC">
        <w:rPr>
          <w:szCs w:val="24"/>
        </w:rPr>
        <w:t>Underwriter</w:t>
      </w:r>
      <w:r w:rsidRPr="006410FC">
        <w:rPr>
          <w:szCs w:val="24"/>
        </w:rPr>
        <w:t>.</w:t>
      </w:r>
    </w:p>
    <w:p w:rsidR="003B1E96" w:rsidRPr="006410FC" w:rsidRDefault="003B1E96" w:rsidP="003B1E96">
      <w:pPr>
        <w:pStyle w:val="Heading2"/>
        <w:rPr>
          <w:szCs w:val="24"/>
        </w:rPr>
      </w:pPr>
      <w:r w:rsidRPr="006410FC">
        <w:rPr>
          <w:szCs w:val="24"/>
        </w:rPr>
        <w:t>The Issuer will refrain from taking any action, or permitting any action to be taken, with regard to which the Issuer may exercise control, that results in the loss of the tax-exempt status of the interest on the</w:t>
      </w:r>
      <w:r w:rsidRPr="00FB2CD9">
        <w:rPr>
          <w:szCs w:val="24"/>
        </w:rPr>
        <w:t xml:space="preserve"> </w:t>
      </w:r>
      <w:r>
        <w:rPr>
          <w:szCs w:val="24"/>
        </w:rPr>
        <w:t>Series A</w:t>
      </w:r>
      <w:r w:rsidRPr="006410FC">
        <w:rPr>
          <w:szCs w:val="24"/>
        </w:rPr>
        <w:t xml:space="preserve"> Bonds.</w:t>
      </w:r>
    </w:p>
    <w:p w:rsidR="00306F34" w:rsidRPr="006410FC" w:rsidRDefault="00306F34">
      <w:pPr>
        <w:pStyle w:val="Heading2"/>
        <w:rPr>
          <w:szCs w:val="24"/>
        </w:rPr>
      </w:pPr>
      <w:r w:rsidRPr="006410FC">
        <w:rPr>
          <w:szCs w:val="24"/>
        </w:rPr>
        <w:lastRenderedPageBreak/>
        <w:t xml:space="preserve">Any certificate signed by any officer of the Issuer and delivered to the </w:t>
      </w:r>
      <w:r w:rsidR="004F12C5" w:rsidRPr="006410FC">
        <w:rPr>
          <w:szCs w:val="24"/>
        </w:rPr>
        <w:t>Underwriter</w:t>
      </w:r>
      <w:r w:rsidRPr="006410FC">
        <w:rPr>
          <w:szCs w:val="24"/>
        </w:rPr>
        <w:t xml:space="preserve"> pursuant to the Basic Documents or any document contemplated thereby, shall be deemed a representation by the Issuer to the </w:t>
      </w:r>
      <w:r w:rsidR="004F12C5" w:rsidRPr="006410FC">
        <w:rPr>
          <w:szCs w:val="24"/>
        </w:rPr>
        <w:t>Underwriter</w:t>
      </w:r>
      <w:r w:rsidRPr="006410FC">
        <w:rPr>
          <w:szCs w:val="24"/>
        </w:rPr>
        <w:t xml:space="preserve"> as to the statements made therein.</w:t>
      </w:r>
    </w:p>
    <w:p w:rsidR="00306F34" w:rsidRPr="006410FC" w:rsidRDefault="00306F34">
      <w:pPr>
        <w:pStyle w:val="Heading2"/>
        <w:rPr>
          <w:szCs w:val="24"/>
        </w:rPr>
      </w:pPr>
      <w:r w:rsidRPr="006410FC">
        <w:rPr>
          <w:szCs w:val="24"/>
        </w:rPr>
        <w:t xml:space="preserve">The Issuer will cause the proceeds from the sale of the </w:t>
      </w:r>
      <w:r w:rsidR="00CE166D" w:rsidRPr="006410FC">
        <w:rPr>
          <w:szCs w:val="24"/>
        </w:rPr>
        <w:t>Bond</w:t>
      </w:r>
      <w:r w:rsidR="004F36C2" w:rsidRPr="006410FC">
        <w:rPr>
          <w:szCs w:val="24"/>
        </w:rPr>
        <w:t>s</w:t>
      </w:r>
      <w:r w:rsidRPr="006410FC">
        <w:rPr>
          <w:szCs w:val="24"/>
        </w:rPr>
        <w:t xml:space="preserve"> to be paid to the Trustee for the purposes specified in the Indenture and the Official Statement.  So long as any of the </w:t>
      </w:r>
      <w:r w:rsidR="00CE166D" w:rsidRPr="006410FC">
        <w:rPr>
          <w:szCs w:val="24"/>
        </w:rPr>
        <w:t>Bond</w:t>
      </w:r>
      <w:r w:rsidR="004F36C2" w:rsidRPr="006410FC">
        <w:rPr>
          <w:szCs w:val="24"/>
        </w:rPr>
        <w:t>s</w:t>
      </w:r>
      <w:r w:rsidRPr="006410FC">
        <w:rPr>
          <w:szCs w:val="24"/>
        </w:rPr>
        <w:t xml:space="preserve"> are outstanding and except as may be authorized by the Indenture, the Issuer will not issue or sell any bonds or other obligations, other than the </w:t>
      </w:r>
      <w:r w:rsidR="00CE166D" w:rsidRPr="006410FC">
        <w:rPr>
          <w:szCs w:val="24"/>
        </w:rPr>
        <w:t>Bond</w:t>
      </w:r>
      <w:r w:rsidR="004F36C2" w:rsidRPr="006410FC">
        <w:rPr>
          <w:szCs w:val="24"/>
        </w:rPr>
        <w:t>s</w:t>
      </w:r>
      <w:r w:rsidRPr="006410FC">
        <w:rPr>
          <w:szCs w:val="24"/>
        </w:rPr>
        <w:t xml:space="preserve"> sold thereby, the interest on and premium, if any, or principal of which will be payable from the payments to be made under the Indenture.</w:t>
      </w:r>
    </w:p>
    <w:p w:rsidR="00306F34" w:rsidRDefault="00306F34">
      <w:pPr>
        <w:pStyle w:val="Heading2"/>
        <w:rPr>
          <w:szCs w:val="24"/>
        </w:rPr>
      </w:pPr>
      <w:r w:rsidRPr="006410FC">
        <w:rPr>
          <w:szCs w:val="24"/>
        </w:rPr>
        <w:t>The Issuer shall honor all other covenants on its part contained in the Basic Documents which are incorporated herein and made a part of this Purchase Contract.</w:t>
      </w:r>
    </w:p>
    <w:p w:rsidR="00CD236C" w:rsidRDefault="00CD236C" w:rsidP="00CD236C">
      <w:pPr>
        <w:pStyle w:val="Heading2"/>
      </w:pPr>
      <w:r>
        <w:t xml:space="preserve">The </w:t>
      </w:r>
      <w:r w:rsidRPr="00AB620F">
        <w:rPr>
          <w:szCs w:val="24"/>
        </w:rPr>
        <w:t>Issuer</w:t>
      </w:r>
      <w:r>
        <w:t xml:space="preserve"> Portion of the Preliminary Official Statement has been “deemed final” as of its date by the Issuer for purposes of the Rule (as defined below), except for the permitted omission described in paragraph (b)(1) of the Rule, if any.</w:t>
      </w:r>
    </w:p>
    <w:p w:rsidR="00306F34" w:rsidRPr="006410FC" w:rsidRDefault="00306F34">
      <w:pPr>
        <w:pStyle w:val="Heading1"/>
        <w:rPr>
          <w:szCs w:val="24"/>
        </w:rPr>
      </w:pPr>
      <w:r w:rsidRPr="006410FC">
        <w:rPr>
          <w:szCs w:val="24"/>
          <w:u w:val="single"/>
        </w:rPr>
        <w:t>Representations, Warranties and Agreements of the Borrower</w:t>
      </w:r>
      <w:r w:rsidRPr="006410FC">
        <w:rPr>
          <w:szCs w:val="24"/>
        </w:rPr>
        <w:t>.  The Borrower represents, warrants and agrees as follows:</w:t>
      </w:r>
    </w:p>
    <w:p w:rsidR="00306F34" w:rsidRPr="006410FC" w:rsidRDefault="00306F34">
      <w:pPr>
        <w:pStyle w:val="Heading2"/>
        <w:rPr>
          <w:szCs w:val="24"/>
        </w:rPr>
      </w:pPr>
      <w:r w:rsidRPr="006410FC">
        <w:rPr>
          <w:szCs w:val="24"/>
        </w:rPr>
        <w:t xml:space="preserve">The Borrower is a </w:t>
      </w:r>
      <w:r w:rsidR="00EF211D">
        <w:rPr>
          <w:szCs w:val="24"/>
        </w:rPr>
        <w:t>limited liability company</w:t>
      </w:r>
      <w:r w:rsidRPr="006410FC">
        <w:rPr>
          <w:szCs w:val="24"/>
        </w:rPr>
        <w:t xml:space="preserve"> duly organized, validly existing and in good standing under the laws of the State of California.</w:t>
      </w:r>
    </w:p>
    <w:p w:rsidR="00306F34" w:rsidRPr="006410FC" w:rsidRDefault="00306F34" w:rsidP="00291E2A">
      <w:pPr>
        <w:pStyle w:val="Heading2"/>
        <w:rPr>
          <w:szCs w:val="24"/>
        </w:rPr>
      </w:pPr>
      <w:r w:rsidRPr="006410FC">
        <w:rPr>
          <w:szCs w:val="24"/>
        </w:rPr>
        <w:t xml:space="preserve">The Borrower has full legal right, power and authority to enter into and to carry out the transactions on its part contemplated by:  (i) the Basic Documents (other than the Indenture), (ii) the Note (as defined in the Indenture), (iii) the </w:t>
      </w:r>
      <w:r w:rsidR="0053476A">
        <w:rPr>
          <w:szCs w:val="24"/>
        </w:rPr>
        <w:t>Deed</w:t>
      </w:r>
      <w:r w:rsidR="006425E7" w:rsidRPr="006410FC">
        <w:rPr>
          <w:szCs w:val="24"/>
        </w:rPr>
        <w:t xml:space="preserve"> of Trust</w:t>
      </w:r>
      <w:r w:rsidRPr="006410FC">
        <w:rPr>
          <w:szCs w:val="24"/>
        </w:rPr>
        <w:t xml:space="preserve"> (as defined in the Indenture), </w:t>
      </w:r>
      <w:r w:rsidR="0048610F" w:rsidRPr="006410FC">
        <w:rPr>
          <w:szCs w:val="24"/>
        </w:rPr>
        <w:t xml:space="preserve">and </w:t>
      </w:r>
      <w:r w:rsidRPr="006410FC">
        <w:rPr>
          <w:szCs w:val="24"/>
        </w:rPr>
        <w:t xml:space="preserve">(iv) the Continuing Disclosure Agreement, dated as of </w:t>
      </w:r>
      <w:r w:rsidR="004C0D47">
        <w:rPr>
          <w:szCs w:val="24"/>
        </w:rPr>
        <w:t>May</w:t>
      </w:r>
      <w:r w:rsidR="00D00AB6">
        <w:rPr>
          <w:szCs w:val="24"/>
        </w:rPr>
        <w:t xml:space="preserve"> 1, 2022</w:t>
      </w:r>
      <w:r w:rsidR="008C749F" w:rsidRPr="006410FC">
        <w:rPr>
          <w:szCs w:val="24"/>
        </w:rPr>
        <w:t xml:space="preserve"> (the “Continuing Disclosure Agreement”)</w:t>
      </w:r>
      <w:r w:rsidRPr="006410FC">
        <w:rPr>
          <w:szCs w:val="24"/>
        </w:rPr>
        <w:t>, between the Borrower and the Dissemination Agent</w:t>
      </w:r>
      <w:r w:rsidR="000D78A2" w:rsidRPr="006410FC">
        <w:rPr>
          <w:szCs w:val="24"/>
        </w:rPr>
        <w:t xml:space="preserve"> </w:t>
      </w:r>
      <w:r w:rsidR="001A57BE" w:rsidRPr="006410FC">
        <w:rPr>
          <w:szCs w:val="24"/>
        </w:rPr>
        <w:t xml:space="preserve">named therein </w:t>
      </w:r>
      <w:r w:rsidRPr="006410FC">
        <w:rPr>
          <w:szCs w:val="24"/>
        </w:rPr>
        <w:t>(the documents described in the preceding clauses (i) through (</w:t>
      </w:r>
      <w:r w:rsidR="0048610F" w:rsidRPr="006410FC">
        <w:rPr>
          <w:szCs w:val="24"/>
        </w:rPr>
        <w:t>i</w:t>
      </w:r>
      <w:r w:rsidR="00E530A3" w:rsidRPr="006410FC">
        <w:rPr>
          <w:szCs w:val="24"/>
        </w:rPr>
        <w:t>v</w:t>
      </w:r>
      <w:r w:rsidR="003D6193" w:rsidRPr="006410FC">
        <w:rPr>
          <w:szCs w:val="24"/>
        </w:rPr>
        <w:t>)</w:t>
      </w:r>
      <w:r w:rsidRPr="006410FC">
        <w:rPr>
          <w:szCs w:val="24"/>
        </w:rPr>
        <w:t xml:space="preserve"> being collectively referred to herein as the “Borrower Documents”); and to approve the Official Statement.</w:t>
      </w:r>
    </w:p>
    <w:p w:rsidR="00306F34" w:rsidRPr="006410FC" w:rsidRDefault="00306F34">
      <w:pPr>
        <w:pStyle w:val="Heading2"/>
        <w:rPr>
          <w:szCs w:val="24"/>
        </w:rPr>
      </w:pPr>
      <w:r w:rsidRPr="006410FC">
        <w:rPr>
          <w:szCs w:val="24"/>
        </w:rPr>
        <w:t>By all necessary action, the Borrower has duly authorized and approved the Borrower Documents, has duly authorized and approved the Preliminary Official Statement and the Official Statement, has duly authorized and approved the execution and delivery of, and the performance by the Borrower of the obligations on its part contained in the Borrower Documents and the consummation by it of all other transactions on its part contemplated by the Borrower Documents.</w:t>
      </w:r>
    </w:p>
    <w:p w:rsidR="00306F34" w:rsidRPr="006410FC" w:rsidRDefault="00306F34">
      <w:pPr>
        <w:pStyle w:val="Heading2"/>
        <w:rPr>
          <w:szCs w:val="24"/>
        </w:rPr>
      </w:pPr>
      <w:r w:rsidRPr="006410FC">
        <w:rPr>
          <w:szCs w:val="24"/>
        </w:rPr>
        <w:t>At the Closing the Borrower Documents will have been duly executed and delivered by the Borrower and will constitute the legal, valid and binding obligations of the Borrower enforceable against the Borrower in accordance with their terms except as enforcement of the Borrower Documents may be limited by bankruptcy, insolvency, reorganization, arrangement, fraudulent conveyance, moratorium or other laws affecting the enforcement of creditors’ rights generally and by the application of equitable principles if equitable remedies are sought.</w:t>
      </w:r>
    </w:p>
    <w:p w:rsidR="00306F34" w:rsidRPr="006410FC" w:rsidRDefault="00306F34">
      <w:pPr>
        <w:pStyle w:val="Heading2"/>
        <w:rPr>
          <w:szCs w:val="24"/>
        </w:rPr>
      </w:pPr>
      <w:r w:rsidRPr="006410FC">
        <w:rPr>
          <w:szCs w:val="24"/>
        </w:rPr>
        <w:lastRenderedPageBreak/>
        <w:t>The Borrower is not in any material respect in violation or breach of or default under any applicable constitutional provision, law or administrative regulation of any state or of the United States, or any agency or instrumentality of either, or any applicable judgment or decree, or any loan agreement, indenture, bond, note, resolution, agreement (including, without limitation, the Loan Agreement) or other instrument to which the Borrower is a party which breach or default has or may have an adverse effect on the Borrower’s financial position or the ability of the Borrower to perform its obligations under the Borrower Documents, and no event has occurred and is continuing which with the passage of time or the giving of notice, or both, would constitute such a violation, default or event of default under any such instrument; and the execution and delivery of the Borrower Documents, and compliance with the provisions on the Borrower’s part contained therein, will not conflict in any material way with or constitute a material breach of or a material default under the articles of incorporation or bylaws of the Borrower, or any constitutional provision, law, administrative regulation, judgment, decree, loan agreement, indenture, bond, note, resolution, agreement or other instrument to which the Borrower is a party nor will any such execution, delivery, adoption or compliance result in the creation or imposition of any lien, charge or other security interest or encumbrance of any nature whatsoever upon any of the property or assets of the Borrower or under the terms of any such law, regulation or instrument, except as may be contemplated or permitted by the Borrower Documents.</w:t>
      </w:r>
    </w:p>
    <w:p w:rsidR="00306F34" w:rsidRPr="006410FC" w:rsidRDefault="00306F34">
      <w:pPr>
        <w:pStyle w:val="Heading2"/>
        <w:rPr>
          <w:szCs w:val="24"/>
        </w:rPr>
      </w:pPr>
      <w:r w:rsidRPr="006410FC">
        <w:rPr>
          <w:szCs w:val="24"/>
        </w:rPr>
        <w:t xml:space="preserve">All consents or approvals of any trustee or holder of indebtedness of the Borrower, and authorizations, approvals, licenses, permits, consents and orders of any governmental authority, legislative body, board, agency or commission having jurisdiction of the matter which are required for the due authorization by, or which would constitute a condition precedent to or the absence of which would materially adversely affect the due performance by, the Borrower of its obligations under the Borrower Documents have been duly obtained, except for such approvals, consents and orders as may be required under the Blue Sky or securities laws of any state in connection with the offering and sale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2"/>
        <w:rPr>
          <w:szCs w:val="24"/>
        </w:rPr>
      </w:pPr>
      <w:r w:rsidRPr="006410FC">
        <w:rPr>
          <w:szCs w:val="24"/>
        </w:rPr>
        <w:t xml:space="preserve">The </w:t>
      </w:r>
      <w:r w:rsidR="009150FB">
        <w:rPr>
          <w:szCs w:val="24"/>
        </w:rPr>
        <w:t xml:space="preserve">sole member of the </w:t>
      </w:r>
      <w:r w:rsidRPr="006410FC">
        <w:rPr>
          <w:szCs w:val="24"/>
        </w:rPr>
        <w:t xml:space="preserve">Borrower is an organization described in Section 501(c)(3) of the Internal Revenue Code of 1986, as amended (the “Code”); and the Borrower </w:t>
      </w:r>
      <w:r w:rsidR="006926D3" w:rsidRPr="006410FC">
        <w:rPr>
          <w:szCs w:val="24"/>
        </w:rPr>
        <w:t>is</w:t>
      </w:r>
      <w:r w:rsidRPr="006410FC">
        <w:rPr>
          <w:szCs w:val="24"/>
        </w:rPr>
        <w:t xml:space="preserve"> exempt from federal income tax under Section 501(a) of the Code, except with respect to any unrelated business income of the Borrower</w:t>
      </w:r>
      <w:r w:rsidR="004A592F" w:rsidRPr="006410FC">
        <w:rPr>
          <w:szCs w:val="24"/>
        </w:rPr>
        <w:t xml:space="preserve"> </w:t>
      </w:r>
      <w:r w:rsidRPr="006410FC">
        <w:rPr>
          <w:szCs w:val="24"/>
        </w:rPr>
        <w:t xml:space="preserve">which income is not expected to result from the consummation of any transaction contemplated by the Borrower Documents.  Such status is based on a letter of determination from the Internal Revenue Service to </w:t>
      </w:r>
      <w:r w:rsidR="004A592F" w:rsidRPr="006410FC">
        <w:rPr>
          <w:szCs w:val="24"/>
        </w:rPr>
        <w:t xml:space="preserve">the </w:t>
      </w:r>
      <w:r w:rsidR="009150FB">
        <w:rPr>
          <w:szCs w:val="24"/>
        </w:rPr>
        <w:t xml:space="preserve">sole member of the </w:t>
      </w:r>
      <w:r w:rsidRPr="006410FC">
        <w:rPr>
          <w:szCs w:val="24"/>
        </w:rPr>
        <w:t xml:space="preserve">Borrower.  </w:t>
      </w:r>
      <w:r w:rsidR="00803386" w:rsidRPr="006410FC">
        <w:rPr>
          <w:szCs w:val="24"/>
        </w:rPr>
        <w:t>T</w:t>
      </w:r>
      <w:r w:rsidR="004A592F" w:rsidRPr="006410FC">
        <w:rPr>
          <w:szCs w:val="24"/>
        </w:rPr>
        <w:t xml:space="preserve">he </w:t>
      </w:r>
      <w:r w:rsidR="009150FB">
        <w:rPr>
          <w:szCs w:val="24"/>
        </w:rPr>
        <w:t xml:space="preserve">sole member of the </w:t>
      </w:r>
      <w:r w:rsidRPr="006410FC">
        <w:rPr>
          <w:szCs w:val="24"/>
        </w:rPr>
        <w:t xml:space="preserve">Borrower </w:t>
      </w:r>
      <w:r w:rsidR="00803386" w:rsidRPr="006410FC">
        <w:rPr>
          <w:szCs w:val="24"/>
        </w:rPr>
        <w:t>is not a</w:t>
      </w:r>
      <w:r w:rsidRPr="006410FC">
        <w:rPr>
          <w:szCs w:val="24"/>
        </w:rPr>
        <w:t xml:space="preserve"> private foundation within the meaning of Section 509(a) of the Code; and the </w:t>
      </w:r>
      <w:r w:rsidR="009150FB">
        <w:rPr>
          <w:szCs w:val="24"/>
        </w:rPr>
        <w:t xml:space="preserve">sole member of the </w:t>
      </w:r>
      <w:r w:rsidRPr="006410FC">
        <w:rPr>
          <w:szCs w:val="24"/>
        </w:rPr>
        <w:t>Borrower</w:t>
      </w:r>
      <w:r w:rsidR="004A592F" w:rsidRPr="006410FC">
        <w:rPr>
          <w:szCs w:val="24"/>
        </w:rPr>
        <w:t xml:space="preserve"> </w:t>
      </w:r>
      <w:r w:rsidRPr="006410FC">
        <w:rPr>
          <w:szCs w:val="24"/>
        </w:rPr>
        <w:t xml:space="preserve">at all times will maintain its status as an organization described in Section 501(c)(3) of the Code and its exemption from federal income tax under Section 501(a) of the Code or corresponding provisions of future federal income tax laws.  The facts and circumstances which formed the basis of the status </w:t>
      </w:r>
      <w:r w:rsidR="008D27BC" w:rsidRPr="006410FC">
        <w:rPr>
          <w:szCs w:val="24"/>
        </w:rPr>
        <w:t xml:space="preserve">of the </w:t>
      </w:r>
      <w:r w:rsidR="009150FB">
        <w:rPr>
          <w:szCs w:val="24"/>
        </w:rPr>
        <w:t xml:space="preserve">sole member of the </w:t>
      </w:r>
      <w:r w:rsidR="008D27BC" w:rsidRPr="006410FC">
        <w:rPr>
          <w:szCs w:val="24"/>
        </w:rPr>
        <w:t xml:space="preserve">Borrower </w:t>
      </w:r>
      <w:r w:rsidRPr="006410FC">
        <w:rPr>
          <w:szCs w:val="24"/>
        </w:rPr>
        <w:t>as an organization described in Section 501(c)(3) of the Code as represented to the Internal Revenue Service continue substantially to exist.</w:t>
      </w:r>
    </w:p>
    <w:p w:rsidR="00306F34" w:rsidRPr="006410FC" w:rsidRDefault="00306F34">
      <w:pPr>
        <w:pStyle w:val="Heading2"/>
        <w:rPr>
          <w:szCs w:val="24"/>
        </w:rPr>
      </w:pPr>
      <w:r w:rsidRPr="006410FC">
        <w:rPr>
          <w:szCs w:val="24"/>
        </w:rPr>
        <w:t xml:space="preserve">Between the date hereof and the Closing, the Borrower will not, without the prior written consent of the </w:t>
      </w:r>
      <w:r w:rsidR="004F12C5" w:rsidRPr="006410FC">
        <w:rPr>
          <w:szCs w:val="24"/>
        </w:rPr>
        <w:t>Underwriter</w:t>
      </w:r>
      <w:r w:rsidRPr="006410FC">
        <w:rPr>
          <w:szCs w:val="24"/>
        </w:rPr>
        <w:t>, except as described in or contemplated by the Official Statement, incur any material liabilities, direct or contingent, other than in the ordinary course of business.</w:t>
      </w:r>
    </w:p>
    <w:p w:rsidR="00306F34" w:rsidRPr="006410FC" w:rsidRDefault="00306F34">
      <w:pPr>
        <w:pStyle w:val="Heading2"/>
        <w:rPr>
          <w:szCs w:val="24"/>
        </w:rPr>
      </w:pPr>
      <w:r w:rsidRPr="006410FC">
        <w:rPr>
          <w:szCs w:val="24"/>
        </w:rPr>
        <w:lastRenderedPageBreak/>
        <w:t>The Borrower Documents conform to the descriptions thereof contained in the Official Statement.</w:t>
      </w:r>
    </w:p>
    <w:p w:rsidR="00306F34" w:rsidRPr="006410FC" w:rsidRDefault="00306F34">
      <w:pPr>
        <w:pStyle w:val="Heading2"/>
        <w:rPr>
          <w:szCs w:val="24"/>
        </w:rPr>
      </w:pPr>
      <w:r w:rsidRPr="006410FC">
        <w:rPr>
          <w:szCs w:val="24"/>
        </w:rPr>
        <w:t xml:space="preserve">At or prior to the Closing, the Borrower shall have duly authorized, executed and delivered the Continuing Disclosure Agreement in the form </w:t>
      </w:r>
      <w:r w:rsidR="009E68C1">
        <w:rPr>
          <w:szCs w:val="24"/>
        </w:rPr>
        <w:t>set forth</w:t>
      </w:r>
      <w:r w:rsidRPr="006410FC">
        <w:rPr>
          <w:szCs w:val="24"/>
        </w:rPr>
        <w:t xml:space="preserve"> in the Official Statement.</w:t>
      </w:r>
    </w:p>
    <w:p w:rsidR="00306F34" w:rsidRPr="006410FC" w:rsidRDefault="009E68C1">
      <w:pPr>
        <w:pStyle w:val="Heading2"/>
        <w:rPr>
          <w:szCs w:val="24"/>
        </w:rPr>
      </w:pPr>
      <w:r>
        <w:rPr>
          <w:szCs w:val="24"/>
        </w:rPr>
        <w:t>[Except as described in the Official Statement,] t</w:t>
      </w:r>
      <w:r w:rsidR="00306F34" w:rsidRPr="006410FC">
        <w:rPr>
          <w:szCs w:val="24"/>
        </w:rPr>
        <w:t>he Borrower is in full compliance with any prior written continuing disclosure undertakings entered into pursuant to the provisions of Rule 15c2-12(b)(5) of the Securities and Exchange Commission.</w:t>
      </w:r>
    </w:p>
    <w:p w:rsidR="00306F34" w:rsidRPr="006410FC" w:rsidRDefault="00306F34" w:rsidP="003B1E96">
      <w:pPr>
        <w:pStyle w:val="Heading2"/>
      </w:pPr>
      <w:r w:rsidRPr="006410FC">
        <w:t xml:space="preserve">As of the date hereof, there is no action, suit, proceeding, inquiry or investigation, notice of which has been served on the Borrower, at law or in equity before or by any court, government agency, public board or body, pending or to the best knowledge of the officer of the Borrower executing this Purchase Contract after inquiry of all other officers and directors of the Borrower, threatened against the Borrower, in any way contesting or affecting the corporate existence or powers of the Borrower or the titles of its officers to their respective offices, or affecting or seeking to prohibit, restrain or enjoin the sale, issuance or delivery of the </w:t>
      </w:r>
      <w:r w:rsidR="00CE166D" w:rsidRPr="006410FC">
        <w:t>Bond</w:t>
      </w:r>
      <w:r w:rsidR="004F36C2" w:rsidRPr="006410FC">
        <w:t>s</w:t>
      </w:r>
      <w:r w:rsidRPr="006410FC">
        <w:t xml:space="preserve"> or the pledge of and lien on the Revenues pursuant to the Indenture, or contesting or affecting as to the Borrower the validity or enforceability of the Indenture, the </w:t>
      </w:r>
      <w:r w:rsidR="00CE166D" w:rsidRPr="006410FC">
        <w:t>Bond</w:t>
      </w:r>
      <w:r w:rsidR="004F36C2" w:rsidRPr="006410FC">
        <w:t>s</w:t>
      </w:r>
      <w:r w:rsidRPr="006410FC">
        <w:t xml:space="preserve">, the Borrower Documents, </w:t>
      </w:r>
      <w:r w:rsidR="003B1E96" w:rsidRPr="006410FC">
        <w:t xml:space="preserve">or contesting the tax-exempt status of interest on the </w:t>
      </w:r>
      <w:r w:rsidR="003B1E96">
        <w:t>Series A</w:t>
      </w:r>
      <w:r w:rsidR="003B1E96" w:rsidRPr="006410FC">
        <w:t xml:space="preserve"> Bonds, or</w:t>
      </w:r>
      <w:r w:rsidRPr="006410FC">
        <w:t xml:space="preserve"> contesting the completeness or accuracy of the Preliminary Official Statement or the Official Statement, or the execution and delivery or performance by the Borrower of the Borrower Documents, or in any way contesting or challenging the consummation of the transactions contemplated hereby or thereby or contesting or affecting the </w:t>
      </w:r>
      <w:r w:rsidR="00D73E6F" w:rsidRPr="006410FC">
        <w:t xml:space="preserve">status of the </w:t>
      </w:r>
      <w:r w:rsidR="009150FB">
        <w:t xml:space="preserve">sole member of the </w:t>
      </w:r>
      <w:r w:rsidR="00D73E6F" w:rsidRPr="006410FC">
        <w:t xml:space="preserve">Borrower </w:t>
      </w:r>
      <w:r w:rsidRPr="006410FC">
        <w:t>as an organization described in Section 501(c)(3) of the Code or which would subject any income of the Borrower to federal income taxation</w:t>
      </w:r>
      <w:r w:rsidR="003B1E96" w:rsidRPr="003B1E96">
        <w:t xml:space="preserve"> </w:t>
      </w:r>
      <w:r w:rsidR="003B1E96" w:rsidRPr="003B1E96">
        <w:rPr>
          <w:szCs w:val="24"/>
        </w:rPr>
        <w:t>to such extent as would result in loss of the exclusion from gross income for federal income tax purposes of interest on any of the Series A Bonds under Section 103 of the Code.</w:t>
      </w:r>
    </w:p>
    <w:p w:rsidR="00306F34" w:rsidRPr="006410FC" w:rsidRDefault="00306F34">
      <w:pPr>
        <w:pStyle w:val="Heading2"/>
        <w:rPr>
          <w:szCs w:val="24"/>
        </w:rPr>
      </w:pPr>
      <w:r w:rsidRPr="006410FC">
        <w:rPr>
          <w:szCs w:val="24"/>
        </w:rPr>
        <w:t>The Borrower:  (i) is in compliance with all laws, ordinances, governmental rules and regulations to which it is subject and which are materia</w:t>
      </w:r>
      <w:r w:rsidR="00D73E6F" w:rsidRPr="006410FC">
        <w:rPr>
          <w:szCs w:val="24"/>
        </w:rPr>
        <w:t>l to its properties, operations or</w:t>
      </w:r>
      <w:r w:rsidRPr="006410FC">
        <w:rPr>
          <w:szCs w:val="24"/>
        </w:rPr>
        <w:t xml:space="preserve"> finances; and (ii) has obtained all licenses, permits, franchises or other governmental authorizations necessary and material to the ownership of its property or to the conduct of its activities, and agrees to obtain all such licenses, permits, franchises or other governmental authorizations as may be required in the future for its operations in all cases where failure to obtain such licenses, permits, franchises or other governmental authorizations could reasonably be expected to materially and adversely affect the condition (financial or otherwise) of the Borrower or its ability to perform its obligations under the Borrower Documents.</w:t>
      </w:r>
    </w:p>
    <w:p w:rsidR="00306F34" w:rsidRPr="006410FC" w:rsidRDefault="00306F34" w:rsidP="003B1E96">
      <w:pPr>
        <w:pStyle w:val="Heading2"/>
      </w:pPr>
      <w:r w:rsidRPr="006410FC">
        <w:t xml:space="preserve">The Borrower will furnish such information, execute such instruments and take such other action in cooperation with the </w:t>
      </w:r>
      <w:r w:rsidR="004F12C5" w:rsidRPr="006410FC">
        <w:t>Underwriter</w:t>
      </w:r>
      <w:r w:rsidRPr="006410FC">
        <w:t xml:space="preserve"> as the </w:t>
      </w:r>
      <w:r w:rsidR="004F12C5" w:rsidRPr="006410FC">
        <w:t>Underwriter</w:t>
      </w:r>
      <w:r w:rsidRPr="006410FC">
        <w:t xml:space="preserve"> may reasonably request in order (i) to qualify the </w:t>
      </w:r>
      <w:r w:rsidR="00CE166D" w:rsidRPr="006410FC">
        <w:t>Bond</w:t>
      </w:r>
      <w:r w:rsidR="004F36C2" w:rsidRPr="006410FC">
        <w:t>s</w:t>
      </w:r>
      <w:r w:rsidRPr="006410FC">
        <w:t xml:space="preserve"> for offer and sale under the Blue Sky or other securities laws and regulations of such states and other jurisdictions of the United States as the </w:t>
      </w:r>
      <w:r w:rsidR="004F12C5" w:rsidRPr="006410FC">
        <w:t>Underwriter</w:t>
      </w:r>
      <w:r w:rsidRPr="006410FC">
        <w:t xml:space="preserve"> may designate</w:t>
      </w:r>
      <w:r w:rsidR="003B1E96">
        <w:t>;</w:t>
      </w:r>
      <w:r w:rsidRPr="006410FC">
        <w:t xml:space="preserve"> (ii) to determine the eligibility of the </w:t>
      </w:r>
      <w:r w:rsidR="00CE166D" w:rsidRPr="006410FC">
        <w:t>Bond</w:t>
      </w:r>
      <w:r w:rsidR="004F36C2" w:rsidRPr="006410FC">
        <w:t>s</w:t>
      </w:r>
      <w:r w:rsidRPr="006410FC">
        <w:t xml:space="preserve"> for investment under the laws of such states and other jurisdictions, and will use its best efforts to continue such qualifications in effect so long as required for the distribution of the </w:t>
      </w:r>
      <w:r w:rsidR="00CE166D" w:rsidRPr="006410FC">
        <w:t>Bond</w:t>
      </w:r>
      <w:r w:rsidR="004F36C2" w:rsidRPr="006410FC">
        <w:t>s</w:t>
      </w:r>
      <w:r w:rsidRPr="006410FC">
        <w:t xml:space="preserve"> (provided, however, that the Borrower shall </w:t>
      </w:r>
      <w:r w:rsidRPr="006410FC">
        <w:lastRenderedPageBreak/>
        <w:t xml:space="preserve">not be required to execute a general or special consent to service of process or qualify to do business in connection with any such qualification or determination in any jurisdiction and the </w:t>
      </w:r>
      <w:r w:rsidR="004F12C5" w:rsidRPr="006410FC">
        <w:t>Underwriter</w:t>
      </w:r>
      <w:r w:rsidRPr="006410FC">
        <w:t xml:space="preserve"> shall bear all costs in connection with the Borrower’s action under (i) and (ii) herein)</w:t>
      </w:r>
      <w:r w:rsidR="003B1E96">
        <w:t xml:space="preserve">; </w:t>
      </w:r>
      <w:r w:rsidR="003B1E96" w:rsidRPr="003B1E96">
        <w:rPr>
          <w:szCs w:val="24"/>
        </w:rPr>
        <w:t>and (iii) assure or maintain the tax-exempt status of the interest on the Series A Bonds.</w:t>
      </w:r>
    </w:p>
    <w:p w:rsidR="00306F34" w:rsidRPr="006410FC" w:rsidRDefault="00306F34">
      <w:pPr>
        <w:pStyle w:val="Heading2"/>
        <w:rPr>
          <w:szCs w:val="24"/>
        </w:rPr>
      </w:pPr>
      <w:r w:rsidRPr="006410FC">
        <w:rPr>
          <w:szCs w:val="24"/>
        </w:rPr>
        <w:t xml:space="preserve">As of the date thereof, the Preliminary Official Statement did not, except for the omission of certain information permitted to be omitted in accordance with Rule 15c2-12 of the Securities and Exchange Commission, contain any untrue statement of a material fact or omit to state a material fact necessary to make the statements therein with respect to the Borrower and the </w:t>
      </w:r>
      <w:r w:rsidR="00F65457">
        <w:rPr>
          <w:szCs w:val="24"/>
        </w:rPr>
        <w:t>Project</w:t>
      </w:r>
      <w:r w:rsidR="004C0D47">
        <w:rPr>
          <w:szCs w:val="24"/>
        </w:rPr>
        <w:t>s</w:t>
      </w:r>
      <w:r w:rsidRPr="006410FC">
        <w:rPr>
          <w:szCs w:val="24"/>
        </w:rPr>
        <w:t>, in light of the circumstances under which they were made, not misleading.</w:t>
      </w:r>
    </w:p>
    <w:p w:rsidR="00306F34" w:rsidRPr="006410FC" w:rsidRDefault="00306F34">
      <w:pPr>
        <w:pStyle w:val="Heading2"/>
        <w:rPr>
          <w:szCs w:val="24"/>
        </w:rPr>
      </w:pPr>
      <w:r w:rsidRPr="006410FC">
        <w:rPr>
          <w:szCs w:val="24"/>
        </w:rPr>
        <w:t>The operating and financial data presented in the Official Statement under the headings “THE</w:t>
      </w:r>
      <w:r w:rsidR="000A64DA" w:rsidRPr="006410FC">
        <w:rPr>
          <w:szCs w:val="24"/>
        </w:rPr>
        <w:t xml:space="preserve"> BORROWER</w:t>
      </w:r>
      <w:r w:rsidRPr="006410FC">
        <w:rPr>
          <w:szCs w:val="24"/>
        </w:rPr>
        <w:t xml:space="preserve">” and “THE </w:t>
      </w:r>
      <w:r w:rsidR="00F65457">
        <w:rPr>
          <w:szCs w:val="24"/>
        </w:rPr>
        <w:t>PROJECT</w:t>
      </w:r>
      <w:r w:rsidR="004C0D47">
        <w:rPr>
          <w:szCs w:val="24"/>
        </w:rPr>
        <w:t>S</w:t>
      </w:r>
      <w:r w:rsidRPr="006410FC">
        <w:rPr>
          <w:szCs w:val="24"/>
        </w:rPr>
        <w:t>” present a fair and accurate summary, in all material respects, of the matters set forth therein.</w:t>
      </w:r>
    </w:p>
    <w:p w:rsidR="00306F34" w:rsidRPr="006410FC" w:rsidRDefault="00306F34">
      <w:pPr>
        <w:pStyle w:val="Heading2"/>
        <w:rPr>
          <w:szCs w:val="24"/>
        </w:rPr>
      </w:pPr>
      <w:r w:rsidRPr="006410FC">
        <w:rPr>
          <w:szCs w:val="24"/>
        </w:rPr>
        <w:t xml:space="preserve">At the time of the Borrower’s acceptance hereof, and (unless an event occurs of the nature described in paragraph (s) of this Section (6) at all times subsequent hereto up to and including the </w:t>
      </w:r>
      <w:r w:rsidR="009E68C1">
        <w:rPr>
          <w:szCs w:val="24"/>
        </w:rPr>
        <w:t>Closing Date</w:t>
      </w:r>
      <w:r w:rsidRPr="006410FC">
        <w:rPr>
          <w:szCs w:val="24"/>
        </w:rPr>
        <w:t xml:space="preserve">, the Official Statement does not and will not contain any untrue statement of a material fact or omit to state a material fact necessary to make the statements therein, in light of the circumstances under which they were made, not misleading; provided, however, that these representations and warranties of the Borrower shall apply only to the information contained in the Official Statement relating to the Borrower or the </w:t>
      </w:r>
      <w:r w:rsidR="00F65457">
        <w:rPr>
          <w:szCs w:val="24"/>
        </w:rPr>
        <w:t>Project</w:t>
      </w:r>
      <w:r w:rsidR="004C0D47">
        <w:rPr>
          <w:szCs w:val="24"/>
        </w:rPr>
        <w:t>s</w:t>
      </w:r>
      <w:r w:rsidRPr="006410FC">
        <w:rPr>
          <w:szCs w:val="24"/>
        </w:rPr>
        <w:t>.</w:t>
      </w:r>
    </w:p>
    <w:p w:rsidR="00306F34" w:rsidRPr="006410FC" w:rsidRDefault="00306F34">
      <w:pPr>
        <w:pStyle w:val="Heading2"/>
        <w:rPr>
          <w:szCs w:val="24"/>
        </w:rPr>
      </w:pPr>
      <w:r w:rsidRPr="006410FC">
        <w:rPr>
          <w:szCs w:val="24"/>
        </w:rPr>
        <w:t xml:space="preserve">If the Official Statement is supplemented or amended pursuant to paragraph (s) of this Section 6, at the time of each supplement or amendment thereto and (unless subsequently again supplemented or amended pursuant to such paragraph) at all times subsequent thereto up to and including the </w:t>
      </w:r>
      <w:r w:rsidR="009E68C1">
        <w:rPr>
          <w:szCs w:val="24"/>
        </w:rPr>
        <w:t>Closing Date</w:t>
      </w:r>
      <w:r w:rsidRPr="006410FC">
        <w:rPr>
          <w:szCs w:val="24"/>
        </w:rPr>
        <w:t xml:space="preserve">, the Official Statement as so supplemented or amended will not contain any untrue statement of a material fact or omit to state a material fact necessary to make the statements therein, in light of the circumstances under which they were made, not misleading; provided, however, that these representations and warranties of the Borrower shall apply only to the information contained in the Official Statement relating to the Borrower or the </w:t>
      </w:r>
      <w:r w:rsidR="00F65457">
        <w:rPr>
          <w:szCs w:val="24"/>
        </w:rPr>
        <w:t>Project</w:t>
      </w:r>
      <w:r w:rsidR="004C0D47">
        <w:rPr>
          <w:szCs w:val="24"/>
        </w:rPr>
        <w:t>s</w:t>
      </w:r>
      <w:r w:rsidRPr="006410FC">
        <w:rPr>
          <w:szCs w:val="24"/>
        </w:rPr>
        <w:t>.</w:t>
      </w:r>
    </w:p>
    <w:p w:rsidR="00306F34" w:rsidRDefault="00306F34">
      <w:pPr>
        <w:pStyle w:val="Heading2"/>
        <w:rPr>
          <w:szCs w:val="24"/>
        </w:rPr>
      </w:pPr>
      <w:r w:rsidRPr="006410FC">
        <w:rPr>
          <w:szCs w:val="24"/>
        </w:rPr>
        <w:t xml:space="preserve">If between the date of this Purchase Contract and that date which is 25 days after the end of the underwriting period (as determined in accordance with Section 7 hereof) any event known to the Borrower shall occur affecting the Borrower or the </w:t>
      </w:r>
      <w:r w:rsidR="00F65457">
        <w:rPr>
          <w:szCs w:val="24"/>
        </w:rPr>
        <w:t>Project</w:t>
      </w:r>
      <w:r w:rsidR="004C0D47">
        <w:rPr>
          <w:szCs w:val="24"/>
        </w:rPr>
        <w:t>s</w:t>
      </w:r>
      <w:r w:rsidRPr="006410FC">
        <w:rPr>
          <w:szCs w:val="24"/>
        </w:rPr>
        <w:t xml:space="preserve"> which might adversely affect the marketability of the </w:t>
      </w:r>
      <w:r w:rsidR="00CE166D" w:rsidRPr="006410FC">
        <w:rPr>
          <w:szCs w:val="24"/>
        </w:rPr>
        <w:t>Bond</w:t>
      </w:r>
      <w:r w:rsidR="004F36C2" w:rsidRPr="006410FC">
        <w:rPr>
          <w:szCs w:val="24"/>
        </w:rPr>
        <w:t>s</w:t>
      </w:r>
      <w:r w:rsidRPr="006410FC">
        <w:rPr>
          <w:szCs w:val="24"/>
        </w:rPr>
        <w:t xml:space="preserve"> or the market prices thereof, or which might cause an Official Statement, as then supplemented or amended, to contain any untrue statement of a material fact or to omit to state a material fact necessary to make the statements therein, in light of the circumstances under which they were made, not misleading, the Borrower shall notify the </w:t>
      </w:r>
      <w:r w:rsidR="004F12C5" w:rsidRPr="006410FC">
        <w:rPr>
          <w:szCs w:val="24"/>
        </w:rPr>
        <w:t>Underwriter</w:t>
      </w:r>
      <w:r w:rsidRPr="006410FC">
        <w:rPr>
          <w:szCs w:val="24"/>
        </w:rPr>
        <w:t xml:space="preserve"> thereof, and if in the opinion of the </w:t>
      </w:r>
      <w:r w:rsidR="004F12C5" w:rsidRPr="006410FC">
        <w:rPr>
          <w:szCs w:val="24"/>
        </w:rPr>
        <w:t>Underwriter</w:t>
      </w:r>
      <w:r w:rsidRPr="006410FC">
        <w:rPr>
          <w:szCs w:val="24"/>
        </w:rPr>
        <w:t xml:space="preserve"> such event requires the preparation and publication of a supplement or amendment to the Official Statement, the Borrower will, at the expense of the Borrower, prepare and furnish to the </w:t>
      </w:r>
      <w:r w:rsidR="004F12C5" w:rsidRPr="006410FC">
        <w:rPr>
          <w:szCs w:val="24"/>
        </w:rPr>
        <w:t>Underwriter</w:t>
      </w:r>
      <w:r w:rsidRPr="006410FC">
        <w:rPr>
          <w:szCs w:val="24"/>
        </w:rPr>
        <w:t xml:space="preserve"> a reasonable number of copies of such supplement to, or amendment of, the Official Statement in a form and in a manner approved by the </w:t>
      </w:r>
      <w:r w:rsidR="004F12C5" w:rsidRPr="006410FC">
        <w:rPr>
          <w:szCs w:val="24"/>
        </w:rPr>
        <w:t>Underwriter</w:t>
      </w:r>
      <w:r w:rsidRPr="006410FC">
        <w:rPr>
          <w:szCs w:val="24"/>
        </w:rPr>
        <w:t>.</w:t>
      </w:r>
    </w:p>
    <w:p w:rsidR="003B1E96" w:rsidRPr="003B1E96" w:rsidRDefault="003B1E96" w:rsidP="00D443A5">
      <w:pPr>
        <w:pStyle w:val="00BodyText1"/>
        <w:jc w:val="both"/>
      </w:pPr>
      <w:r w:rsidRPr="003B1E96">
        <w:lastRenderedPageBreak/>
        <w:t>(t)</w:t>
      </w:r>
      <w:r w:rsidRPr="003B1E96">
        <w:tab/>
        <w:t>The Borrower will refrain from taking any action, or permitting any action to be taken, with regard to which the Borrower may exercise control, that results in the loss of the tax-exempt status of the interest on the Series A Bonds.</w:t>
      </w:r>
    </w:p>
    <w:p w:rsidR="00306F34" w:rsidRPr="006410FC" w:rsidRDefault="00306F34">
      <w:pPr>
        <w:pStyle w:val="Heading2"/>
        <w:rPr>
          <w:szCs w:val="24"/>
        </w:rPr>
      </w:pPr>
      <w:r w:rsidRPr="006410FC">
        <w:rPr>
          <w:szCs w:val="24"/>
        </w:rPr>
        <w:t xml:space="preserve">Any certificate signed by any officer of the Borrower and delivered to the </w:t>
      </w:r>
      <w:r w:rsidR="004F12C5" w:rsidRPr="006410FC">
        <w:rPr>
          <w:szCs w:val="24"/>
        </w:rPr>
        <w:t>Underwriter</w:t>
      </w:r>
      <w:r w:rsidRPr="006410FC">
        <w:rPr>
          <w:szCs w:val="24"/>
        </w:rPr>
        <w:t xml:space="preserve"> pursuant to any Borrower Document or otherwise contemplated thereby shall be deemed a representation and warranty by the Borrower to the </w:t>
      </w:r>
      <w:r w:rsidR="004F12C5" w:rsidRPr="006410FC">
        <w:rPr>
          <w:szCs w:val="24"/>
        </w:rPr>
        <w:t>Underwriter</w:t>
      </w:r>
      <w:r w:rsidRPr="006410FC">
        <w:rPr>
          <w:szCs w:val="24"/>
        </w:rPr>
        <w:t xml:space="preserve"> as to the statements made therein.</w:t>
      </w:r>
    </w:p>
    <w:p w:rsidR="00D73E6F" w:rsidRPr="006410FC" w:rsidRDefault="00D73E6F" w:rsidP="00D73E6F">
      <w:pPr>
        <w:pStyle w:val="Heading2"/>
        <w:rPr>
          <w:szCs w:val="24"/>
        </w:rPr>
      </w:pPr>
      <w:r w:rsidRPr="006410FC">
        <w:rPr>
          <w:szCs w:val="24"/>
        </w:rPr>
        <w:t>The Borrower is in compliance with all laws, ordinances, governmental rules and regulations to which it is subject and which are material to its properties, operations or finances or status as an organization described in Section 501(c)(3) of the Code.</w:t>
      </w:r>
    </w:p>
    <w:p w:rsidR="00306F34" w:rsidRPr="006410FC" w:rsidRDefault="00306F34">
      <w:pPr>
        <w:pStyle w:val="Heading1"/>
        <w:rPr>
          <w:szCs w:val="24"/>
        </w:rPr>
      </w:pPr>
      <w:r w:rsidRPr="006410FC">
        <w:rPr>
          <w:szCs w:val="24"/>
          <w:u w:val="single"/>
        </w:rPr>
        <w:t>Determination of End of the Underwriting Period</w:t>
      </w:r>
      <w:r w:rsidRPr="006410FC">
        <w:rPr>
          <w:szCs w:val="24"/>
        </w:rPr>
        <w:t xml:space="preserve">.  For purposes of this Purchase Contract, the End of the Underwriting Period for the </w:t>
      </w:r>
      <w:r w:rsidR="00CE166D" w:rsidRPr="006410FC">
        <w:rPr>
          <w:szCs w:val="24"/>
        </w:rPr>
        <w:t>Bond</w:t>
      </w:r>
      <w:r w:rsidR="004F36C2" w:rsidRPr="006410FC">
        <w:rPr>
          <w:szCs w:val="24"/>
        </w:rPr>
        <w:t>s</w:t>
      </w:r>
      <w:r w:rsidRPr="006410FC">
        <w:rPr>
          <w:szCs w:val="24"/>
        </w:rPr>
        <w:t xml:space="preserve"> shall mean the earlier of (a) the day of the Closing unless the Issuer and the Borrower have been notified in writing by the </w:t>
      </w:r>
      <w:r w:rsidR="004F12C5" w:rsidRPr="006410FC">
        <w:rPr>
          <w:szCs w:val="24"/>
        </w:rPr>
        <w:t>Underwriter</w:t>
      </w:r>
      <w:r w:rsidRPr="006410FC">
        <w:rPr>
          <w:szCs w:val="24"/>
        </w:rPr>
        <w:t xml:space="preserve">, on or prior to the day of the Closing, that the “end of the underwriting period” for the </w:t>
      </w:r>
      <w:r w:rsidR="00CE166D" w:rsidRPr="006410FC">
        <w:rPr>
          <w:szCs w:val="24"/>
        </w:rPr>
        <w:t>Bond</w:t>
      </w:r>
      <w:r w:rsidR="004F36C2" w:rsidRPr="006410FC">
        <w:rPr>
          <w:szCs w:val="24"/>
        </w:rPr>
        <w:t>s</w:t>
      </w:r>
      <w:r w:rsidRPr="006410FC">
        <w:rPr>
          <w:szCs w:val="24"/>
        </w:rPr>
        <w:t xml:space="preserve"> for all purposes of Rule 15c2-12 of the Securities and Exchange Commission promulgated under the Securities Exchange Act of 1934 (the “Rule”) will not occur on the day of the Closing, or (b) the date on which notice is given to the Issuer and the Borrower by the </w:t>
      </w:r>
      <w:r w:rsidR="004F12C5" w:rsidRPr="006410FC">
        <w:rPr>
          <w:szCs w:val="24"/>
        </w:rPr>
        <w:t>Underwriter</w:t>
      </w:r>
      <w:r w:rsidRPr="006410FC">
        <w:rPr>
          <w:szCs w:val="24"/>
        </w:rPr>
        <w:t xml:space="preserve"> in accordance with the following sentence.  In the event that the </w:t>
      </w:r>
      <w:r w:rsidR="004F12C5" w:rsidRPr="006410FC">
        <w:rPr>
          <w:szCs w:val="24"/>
        </w:rPr>
        <w:t>Underwriter</w:t>
      </w:r>
      <w:r w:rsidRPr="006410FC">
        <w:rPr>
          <w:szCs w:val="24"/>
        </w:rPr>
        <w:t xml:space="preserve"> </w:t>
      </w:r>
      <w:r w:rsidR="00401CAF" w:rsidRPr="006410FC">
        <w:rPr>
          <w:szCs w:val="24"/>
        </w:rPr>
        <w:t>has</w:t>
      </w:r>
      <w:r w:rsidRPr="006410FC">
        <w:rPr>
          <w:szCs w:val="24"/>
        </w:rPr>
        <w:t xml:space="preserve"> given notice to the Issuer and the Borrower pursuant to clause (a) above that the “end of the underwriting period” for the </w:t>
      </w:r>
      <w:r w:rsidR="00CE166D" w:rsidRPr="006410FC">
        <w:rPr>
          <w:szCs w:val="24"/>
        </w:rPr>
        <w:t>Bond</w:t>
      </w:r>
      <w:r w:rsidR="004F36C2" w:rsidRPr="006410FC">
        <w:rPr>
          <w:szCs w:val="24"/>
        </w:rPr>
        <w:t>s</w:t>
      </w:r>
      <w:r w:rsidRPr="006410FC">
        <w:rPr>
          <w:szCs w:val="24"/>
        </w:rPr>
        <w:t xml:space="preserve"> will not occur on the day of the Closing, the </w:t>
      </w:r>
      <w:r w:rsidR="004F12C5" w:rsidRPr="006410FC">
        <w:rPr>
          <w:szCs w:val="24"/>
        </w:rPr>
        <w:t>Underwriter</w:t>
      </w:r>
      <w:r w:rsidRPr="006410FC">
        <w:rPr>
          <w:szCs w:val="24"/>
        </w:rPr>
        <w:t xml:space="preserve"> agree</w:t>
      </w:r>
      <w:r w:rsidR="00177E46" w:rsidRPr="006410FC">
        <w:rPr>
          <w:szCs w:val="24"/>
        </w:rPr>
        <w:t>s</w:t>
      </w:r>
      <w:r w:rsidRPr="006410FC">
        <w:rPr>
          <w:szCs w:val="24"/>
        </w:rPr>
        <w:t xml:space="preserve"> to notify the Issuer and the Borrower in writing as soon as practicable following the “end of the underwriting period” for the </w:t>
      </w:r>
      <w:r w:rsidR="00CE166D" w:rsidRPr="006410FC">
        <w:rPr>
          <w:szCs w:val="24"/>
        </w:rPr>
        <w:t>Bond</w:t>
      </w:r>
      <w:r w:rsidR="004F36C2" w:rsidRPr="006410FC">
        <w:rPr>
          <w:szCs w:val="24"/>
        </w:rPr>
        <w:t>s</w:t>
      </w:r>
      <w:r w:rsidRPr="006410FC">
        <w:rPr>
          <w:szCs w:val="24"/>
        </w:rPr>
        <w:t xml:space="preserve"> for all purposes of the Rule.</w:t>
      </w:r>
    </w:p>
    <w:p w:rsidR="00306F34" w:rsidRPr="006410FC" w:rsidRDefault="00306F34">
      <w:pPr>
        <w:pStyle w:val="Heading1"/>
        <w:rPr>
          <w:szCs w:val="24"/>
        </w:rPr>
      </w:pPr>
      <w:r w:rsidRPr="006410FC">
        <w:rPr>
          <w:szCs w:val="24"/>
          <w:u w:val="single"/>
        </w:rPr>
        <w:t>Closing</w:t>
      </w:r>
      <w:r w:rsidRPr="006410FC">
        <w:rPr>
          <w:szCs w:val="24"/>
        </w:rPr>
        <w:t xml:space="preserve">.  At 8:00 a.m., Los Angeles time, on </w:t>
      </w:r>
      <w:r w:rsidR="00107165">
        <w:rPr>
          <w:szCs w:val="24"/>
        </w:rPr>
        <w:t>May [__]</w:t>
      </w:r>
      <w:r w:rsidR="00052B4D">
        <w:rPr>
          <w:szCs w:val="24"/>
        </w:rPr>
        <w:t>, 202</w:t>
      </w:r>
      <w:r w:rsidR="004B264C">
        <w:rPr>
          <w:szCs w:val="24"/>
        </w:rPr>
        <w:t>2</w:t>
      </w:r>
      <w:r w:rsidRPr="006410FC">
        <w:rPr>
          <w:szCs w:val="24"/>
        </w:rPr>
        <w:t xml:space="preserve">, or on such earlier or later date as may be mutually agreed upon by the Issuer, the Borrower and the </w:t>
      </w:r>
      <w:r w:rsidR="004F12C5" w:rsidRPr="006410FC">
        <w:rPr>
          <w:szCs w:val="24"/>
        </w:rPr>
        <w:t>Underwriter</w:t>
      </w:r>
      <w:r w:rsidRPr="006410FC">
        <w:rPr>
          <w:szCs w:val="24"/>
        </w:rPr>
        <w:t xml:space="preserve">, the Issuer will, subject to the terms and conditions hereof, cause the Trustee to deliver to The Depository Trust Company (“DTC”) in New York, New York, on behalf of the </w:t>
      </w:r>
      <w:r w:rsidR="004F12C5" w:rsidRPr="006410FC">
        <w:rPr>
          <w:szCs w:val="24"/>
        </w:rPr>
        <w:t>Underwriter</w:t>
      </w:r>
      <w:r w:rsidRPr="006410FC">
        <w:rPr>
          <w:szCs w:val="24"/>
        </w:rPr>
        <w:t xml:space="preserve">, the </w:t>
      </w:r>
      <w:r w:rsidR="00CE166D" w:rsidRPr="006410FC">
        <w:rPr>
          <w:szCs w:val="24"/>
        </w:rPr>
        <w:t>Bond</w:t>
      </w:r>
      <w:r w:rsidR="004F36C2" w:rsidRPr="006410FC">
        <w:rPr>
          <w:szCs w:val="24"/>
        </w:rPr>
        <w:t>s</w:t>
      </w:r>
      <w:r w:rsidRPr="006410FC">
        <w:rPr>
          <w:szCs w:val="24"/>
        </w:rPr>
        <w:t xml:space="preserve"> in definitive form, duly executed by the Trustee, together with the other documents hereinafter mentioned, and the </w:t>
      </w:r>
      <w:r w:rsidR="004F12C5" w:rsidRPr="006410FC">
        <w:rPr>
          <w:szCs w:val="24"/>
        </w:rPr>
        <w:t>Underwriter</w:t>
      </w:r>
      <w:r w:rsidRPr="006410FC">
        <w:rPr>
          <w:szCs w:val="24"/>
        </w:rPr>
        <w:t xml:space="preserve"> will accept such delivery and will pay the purchase price of the </w:t>
      </w:r>
      <w:r w:rsidR="00CE166D" w:rsidRPr="006410FC">
        <w:rPr>
          <w:szCs w:val="24"/>
        </w:rPr>
        <w:t>Bond</w:t>
      </w:r>
      <w:r w:rsidR="004F36C2" w:rsidRPr="006410FC">
        <w:rPr>
          <w:szCs w:val="24"/>
        </w:rPr>
        <w:t>s</w:t>
      </w:r>
      <w:r w:rsidRPr="006410FC">
        <w:rPr>
          <w:szCs w:val="24"/>
        </w:rPr>
        <w:t xml:space="preserve"> as set forth in paragraph 1 hereof by delivering Federal or other immediately available funds in the amount of such purchase price to the Trustee.  The </w:t>
      </w:r>
      <w:r w:rsidR="00CE166D" w:rsidRPr="006410FC">
        <w:rPr>
          <w:szCs w:val="24"/>
        </w:rPr>
        <w:t>Bond</w:t>
      </w:r>
      <w:r w:rsidR="004F36C2" w:rsidRPr="006410FC">
        <w:rPr>
          <w:szCs w:val="24"/>
        </w:rPr>
        <w:t>s</w:t>
      </w:r>
      <w:r w:rsidRPr="006410FC">
        <w:rPr>
          <w:szCs w:val="24"/>
        </w:rPr>
        <w:t xml:space="preserve"> shall be prepared in fully registered form without coupons in authorized denominations and shall be registered in the name of Cede &amp; Co.</w:t>
      </w:r>
    </w:p>
    <w:p w:rsidR="00306F34" w:rsidRPr="006410FC" w:rsidRDefault="00306F34">
      <w:pPr>
        <w:pStyle w:val="Heading1"/>
        <w:rPr>
          <w:szCs w:val="24"/>
        </w:rPr>
      </w:pPr>
      <w:r w:rsidRPr="006410FC">
        <w:rPr>
          <w:szCs w:val="24"/>
          <w:u w:val="single"/>
        </w:rPr>
        <w:t>Closing Conditions</w:t>
      </w:r>
      <w:r w:rsidRPr="006410FC">
        <w:rPr>
          <w:szCs w:val="24"/>
        </w:rPr>
        <w:t xml:space="preserve">.  The </w:t>
      </w:r>
      <w:r w:rsidR="004F12C5" w:rsidRPr="006410FC">
        <w:rPr>
          <w:szCs w:val="24"/>
        </w:rPr>
        <w:t>Underwriter</w:t>
      </w:r>
      <w:r w:rsidRPr="006410FC">
        <w:rPr>
          <w:szCs w:val="24"/>
        </w:rPr>
        <w:t xml:space="preserve"> </w:t>
      </w:r>
      <w:r w:rsidR="00401CAF" w:rsidRPr="006410FC">
        <w:rPr>
          <w:szCs w:val="24"/>
        </w:rPr>
        <w:t>has</w:t>
      </w:r>
      <w:r w:rsidRPr="006410FC">
        <w:rPr>
          <w:szCs w:val="24"/>
        </w:rPr>
        <w:t xml:space="preserve"> entered into this Purchase Contract in reliance upon the representations and warranties of the Issuer and the Borrower contained herein, and in reliance upon the representations and warranties to be contained in the documents and instruments to be delivered at the Closing and upon the performance by the Issuer and the Borrower of their respective obligations hereunder, both as of the date hereof and as of the </w:t>
      </w:r>
      <w:r w:rsidR="009E68C1">
        <w:rPr>
          <w:szCs w:val="24"/>
        </w:rPr>
        <w:t>Closing Date</w:t>
      </w:r>
      <w:r w:rsidRPr="006410FC">
        <w:rPr>
          <w:szCs w:val="24"/>
        </w:rPr>
        <w:t xml:space="preserve">.  Accordingly, the </w:t>
      </w:r>
      <w:r w:rsidR="004F12C5" w:rsidRPr="006410FC">
        <w:rPr>
          <w:szCs w:val="24"/>
        </w:rPr>
        <w:t>Underwriter</w:t>
      </w:r>
      <w:r w:rsidRPr="006410FC">
        <w:rPr>
          <w:szCs w:val="24"/>
        </w:rPr>
        <w:t>’</w:t>
      </w:r>
      <w:r w:rsidR="00461E47" w:rsidRPr="006410FC">
        <w:rPr>
          <w:szCs w:val="24"/>
        </w:rPr>
        <w:t>s</w:t>
      </w:r>
      <w:r w:rsidRPr="006410FC">
        <w:rPr>
          <w:szCs w:val="24"/>
        </w:rPr>
        <w:t xml:space="preserve"> obligations under this Purchase Contract to purchase, to accept delivery of and to pay for the </w:t>
      </w:r>
      <w:r w:rsidR="00CE166D" w:rsidRPr="006410FC">
        <w:rPr>
          <w:szCs w:val="24"/>
        </w:rPr>
        <w:t>Bond</w:t>
      </w:r>
      <w:r w:rsidR="004F36C2" w:rsidRPr="006410FC">
        <w:rPr>
          <w:szCs w:val="24"/>
        </w:rPr>
        <w:t>s</w:t>
      </w:r>
      <w:r w:rsidRPr="006410FC">
        <w:rPr>
          <w:szCs w:val="24"/>
        </w:rPr>
        <w:t xml:space="preserve"> shall be conditioned upon the performance by the Issuer and the Borrower of their obligations to be performed hereunder and under such documents and instruments at or prior to the Closing, and shall also be subject to the following additional conditions:</w:t>
      </w:r>
    </w:p>
    <w:p w:rsidR="00306F34" w:rsidRPr="006410FC" w:rsidRDefault="00306F34">
      <w:pPr>
        <w:pStyle w:val="Heading2"/>
        <w:rPr>
          <w:szCs w:val="24"/>
        </w:rPr>
      </w:pPr>
      <w:r w:rsidRPr="006410FC">
        <w:rPr>
          <w:szCs w:val="24"/>
        </w:rPr>
        <w:lastRenderedPageBreak/>
        <w:t xml:space="preserve">The representations and warranties of the Issuer and the Borrower contained herein shall be true, complete and correct on the date hereof and on and as of the </w:t>
      </w:r>
      <w:r w:rsidR="009E68C1">
        <w:rPr>
          <w:szCs w:val="24"/>
        </w:rPr>
        <w:t>Closing Date</w:t>
      </w:r>
      <w:r w:rsidRPr="006410FC">
        <w:rPr>
          <w:szCs w:val="24"/>
        </w:rPr>
        <w:t xml:space="preserve">, as if made on the </w:t>
      </w:r>
      <w:r w:rsidR="009E68C1">
        <w:rPr>
          <w:szCs w:val="24"/>
        </w:rPr>
        <w:t>Closing Date</w:t>
      </w:r>
      <w:r w:rsidRPr="006410FC">
        <w:rPr>
          <w:szCs w:val="24"/>
        </w:rPr>
        <w:t>;</w:t>
      </w:r>
    </w:p>
    <w:p w:rsidR="00306F34" w:rsidRPr="006410FC" w:rsidRDefault="00306F34">
      <w:pPr>
        <w:pStyle w:val="Heading2"/>
        <w:rPr>
          <w:szCs w:val="24"/>
        </w:rPr>
      </w:pPr>
      <w:r w:rsidRPr="006410FC">
        <w:rPr>
          <w:szCs w:val="24"/>
        </w:rPr>
        <w:t xml:space="preserve">At the time of the Closing, the Indenture shall be in full force and effect in accordance with its terms and shall not have been amended, modified or supplemented and the Official Statement shall not have been supplemented or amended, except in any such case as may have been agreed to by the </w:t>
      </w:r>
      <w:r w:rsidR="004F12C5" w:rsidRPr="006410FC">
        <w:rPr>
          <w:szCs w:val="24"/>
        </w:rPr>
        <w:t>Underwriter</w:t>
      </w:r>
      <w:r w:rsidRPr="006410FC">
        <w:rPr>
          <w:szCs w:val="24"/>
        </w:rPr>
        <w:t>;</w:t>
      </w:r>
    </w:p>
    <w:p w:rsidR="00306F34" w:rsidRPr="006410FC" w:rsidRDefault="00306F34">
      <w:pPr>
        <w:pStyle w:val="Heading2"/>
        <w:rPr>
          <w:szCs w:val="24"/>
        </w:rPr>
      </w:pPr>
      <w:r w:rsidRPr="006410FC">
        <w:rPr>
          <w:szCs w:val="24"/>
        </w:rPr>
        <w:t>At the time of the Closing, all necessary official action of the Issuer, the Borrower and of the other parties thereto relating to the Borrower Documents shall have been taken and shall be in full force and effect and shall not have been amended, modified or supplemented in any material respect;</w:t>
      </w:r>
    </w:p>
    <w:p w:rsidR="00306F34" w:rsidRPr="006410FC" w:rsidRDefault="00306F34">
      <w:pPr>
        <w:pStyle w:val="Heading2"/>
        <w:rPr>
          <w:szCs w:val="24"/>
        </w:rPr>
      </w:pPr>
      <w:r w:rsidRPr="006410FC">
        <w:rPr>
          <w:szCs w:val="24"/>
        </w:rPr>
        <w:t xml:space="preserve">Subsequent to the date hereof, there shall not have occurred any change in or affecting particularly the Issuer, the Borrower or the </w:t>
      </w:r>
      <w:r w:rsidR="00CE166D" w:rsidRPr="006410FC">
        <w:rPr>
          <w:szCs w:val="24"/>
        </w:rPr>
        <w:t>Bond</w:t>
      </w:r>
      <w:r w:rsidR="004F36C2" w:rsidRPr="006410FC">
        <w:rPr>
          <w:szCs w:val="24"/>
        </w:rPr>
        <w:t>s</w:t>
      </w:r>
      <w:r w:rsidRPr="006410FC">
        <w:rPr>
          <w:szCs w:val="24"/>
        </w:rPr>
        <w:t xml:space="preserve">, as the foregoing matters are described in the Official Statement, which in the reasonable opinion of the </w:t>
      </w:r>
      <w:r w:rsidR="004F12C5" w:rsidRPr="006410FC">
        <w:rPr>
          <w:szCs w:val="24"/>
        </w:rPr>
        <w:t>Underwriter</w:t>
      </w:r>
      <w:r w:rsidRPr="006410FC">
        <w:rPr>
          <w:szCs w:val="24"/>
        </w:rPr>
        <w:t xml:space="preserve"> materially impairs the investment quality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2"/>
        <w:rPr>
          <w:szCs w:val="24"/>
        </w:rPr>
      </w:pPr>
      <w:r w:rsidRPr="006410FC">
        <w:rPr>
          <w:szCs w:val="24"/>
        </w:rPr>
        <w:t xml:space="preserve">At or prior to the Closing, the </w:t>
      </w:r>
      <w:r w:rsidR="004F12C5" w:rsidRPr="006410FC">
        <w:rPr>
          <w:szCs w:val="24"/>
        </w:rPr>
        <w:t>Underwriter</w:t>
      </w:r>
      <w:r w:rsidRPr="006410FC">
        <w:rPr>
          <w:szCs w:val="24"/>
        </w:rPr>
        <w:t xml:space="preserve"> shall have received copies of each of the following documents:</w:t>
      </w:r>
    </w:p>
    <w:p w:rsidR="00306F34" w:rsidRPr="006410FC" w:rsidRDefault="00306F34">
      <w:pPr>
        <w:pStyle w:val="Heading3"/>
        <w:rPr>
          <w:szCs w:val="24"/>
        </w:rPr>
      </w:pPr>
      <w:r w:rsidRPr="006410FC">
        <w:rPr>
          <w:szCs w:val="24"/>
        </w:rPr>
        <w:t>The Official Statement and each supplement or amendment, if any, thereto, executed by an authorized officer of the Issuer;</w:t>
      </w:r>
    </w:p>
    <w:p w:rsidR="00306F34" w:rsidRPr="006410FC" w:rsidRDefault="00306F34">
      <w:pPr>
        <w:pStyle w:val="Heading3"/>
        <w:rPr>
          <w:szCs w:val="24"/>
        </w:rPr>
      </w:pPr>
      <w:r w:rsidRPr="006410FC">
        <w:rPr>
          <w:szCs w:val="24"/>
        </w:rPr>
        <w:t>A copy of the Indenture, executed by the Issuer and the Trustee;</w:t>
      </w:r>
    </w:p>
    <w:p w:rsidR="00306F34" w:rsidRPr="006410FC" w:rsidRDefault="00306F34">
      <w:pPr>
        <w:pStyle w:val="Heading3"/>
        <w:rPr>
          <w:szCs w:val="24"/>
        </w:rPr>
      </w:pPr>
      <w:bookmarkStart w:id="3" w:name="_Hlk4154147"/>
      <w:r w:rsidRPr="006410FC">
        <w:rPr>
          <w:szCs w:val="24"/>
        </w:rPr>
        <w:t xml:space="preserve">A copy of the </w:t>
      </w:r>
      <w:bookmarkEnd w:id="3"/>
      <w:r w:rsidRPr="006410FC">
        <w:rPr>
          <w:szCs w:val="24"/>
        </w:rPr>
        <w:t>Loan Agreement, executed by the Borrower, the Trustee and the Issuer;</w:t>
      </w:r>
    </w:p>
    <w:p w:rsidR="00306F34" w:rsidRPr="006410FC" w:rsidRDefault="0053476A" w:rsidP="0053476A">
      <w:pPr>
        <w:pStyle w:val="Heading3"/>
      </w:pPr>
      <w:r w:rsidRPr="0053476A">
        <w:rPr>
          <w:szCs w:val="24"/>
        </w:rPr>
        <w:t xml:space="preserve">A copy of </w:t>
      </w:r>
      <w:r w:rsidR="004B264C">
        <w:rPr>
          <w:szCs w:val="24"/>
        </w:rPr>
        <w:t>each</w:t>
      </w:r>
      <w:r w:rsidRPr="0053476A">
        <w:rPr>
          <w:szCs w:val="24"/>
        </w:rPr>
        <w:t xml:space="preserve"> </w:t>
      </w:r>
      <w:r w:rsidR="00F65457">
        <w:t>Regulatory Agreement</w:t>
      </w:r>
      <w:r w:rsidR="00306F34" w:rsidRPr="006410FC">
        <w:t xml:space="preserve">, executed by the Borrower, the Trustee and the Issuer, and a copy of the </w:t>
      </w:r>
      <w:r w:rsidR="00F504AA" w:rsidRPr="006410FC">
        <w:t>Oversight Agreement</w:t>
      </w:r>
      <w:r w:rsidR="00306F34" w:rsidRPr="006410FC">
        <w:t>, executed by the Borrower, the Issuer and the Oversight Agent;</w:t>
      </w:r>
    </w:p>
    <w:p w:rsidR="00306F34" w:rsidRPr="006410FC" w:rsidRDefault="0053476A" w:rsidP="0053476A">
      <w:pPr>
        <w:pStyle w:val="Heading3"/>
      </w:pPr>
      <w:r w:rsidRPr="0053476A">
        <w:rPr>
          <w:szCs w:val="24"/>
        </w:rPr>
        <w:t xml:space="preserve">A copy of </w:t>
      </w:r>
      <w:r w:rsidR="00496689">
        <w:rPr>
          <w:szCs w:val="24"/>
        </w:rPr>
        <w:t xml:space="preserve">each </w:t>
      </w:r>
      <w:r w:rsidR="006425E7" w:rsidRPr="006410FC">
        <w:t>Deed of Trust</w:t>
      </w:r>
      <w:r w:rsidR="00306F34" w:rsidRPr="006410FC">
        <w:t>, executed by the Borrower;</w:t>
      </w:r>
    </w:p>
    <w:p w:rsidR="00306F34" w:rsidRPr="006410FC" w:rsidRDefault="00306F34">
      <w:pPr>
        <w:pStyle w:val="Heading3"/>
        <w:rPr>
          <w:szCs w:val="24"/>
        </w:rPr>
      </w:pPr>
      <w:r w:rsidRPr="006410FC">
        <w:rPr>
          <w:szCs w:val="24"/>
        </w:rPr>
        <w:t xml:space="preserve">A copy of the Continuing Disclosure Agreement, executed by the Borrower and the </w:t>
      </w:r>
      <w:r w:rsidR="0072328A" w:rsidRPr="006410FC">
        <w:rPr>
          <w:szCs w:val="24"/>
        </w:rPr>
        <w:t>Dissemination Agent</w:t>
      </w:r>
      <w:r w:rsidRPr="006410FC">
        <w:rPr>
          <w:szCs w:val="24"/>
        </w:rPr>
        <w:t>, substantially in the form described in the Official Statement;</w:t>
      </w:r>
    </w:p>
    <w:p w:rsidR="00306F34" w:rsidRDefault="00306F34">
      <w:pPr>
        <w:pStyle w:val="Heading3"/>
        <w:rPr>
          <w:szCs w:val="24"/>
        </w:rPr>
      </w:pPr>
      <w:r w:rsidRPr="006410FC">
        <w:rPr>
          <w:szCs w:val="24"/>
        </w:rPr>
        <w:t>Certificates of the Issuer and the Borrower, respectively, with respect to the matters described in Sections 5 and 6 hereof, and in paragraphs (a), (b), (c) and (d) of this Section 9;</w:t>
      </w:r>
    </w:p>
    <w:p w:rsidR="00306F34" w:rsidRPr="006410FC" w:rsidRDefault="00306F34">
      <w:pPr>
        <w:pStyle w:val="Heading3"/>
        <w:rPr>
          <w:szCs w:val="24"/>
        </w:rPr>
      </w:pPr>
      <w:r w:rsidRPr="006410FC">
        <w:rPr>
          <w:szCs w:val="24"/>
        </w:rPr>
        <w:t xml:space="preserve">An Opinion (the “Final Approving Legal Opinion”), dated the </w:t>
      </w:r>
      <w:r w:rsidR="009E68C1">
        <w:rPr>
          <w:szCs w:val="24"/>
        </w:rPr>
        <w:t>Closing Date</w:t>
      </w:r>
      <w:r w:rsidRPr="006410FC">
        <w:rPr>
          <w:szCs w:val="24"/>
        </w:rPr>
        <w:t xml:space="preserve"> and addressed to the Issuer, of </w:t>
      </w:r>
      <w:r w:rsidR="00AC5283" w:rsidRPr="006410FC">
        <w:rPr>
          <w:szCs w:val="24"/>
        </w:rPr>
        <w:t>Gilmore &amp; Bell, P.C.</w:t>
      </w:r>
      <w:r w:rsidRPr="006410FC">
        <w:rPr>
          <w:szCs w:val="24"/>
        </w:rPr>
        <w:t xml:space="preserve">, Bond Counsel, substantially in the form set forth in Appendix </w:t>
      </w:r>
      <w:r w:rsidR="00A246A5">
        <w:rPr>
          <w:szCs w:val="24"/>
        </w:rPr>
        <w:t>B</w:t>
      </w:r>
      <w:r w:rsidRPr="006410FC">
        <w:rPr>
          <w:szCs w:val="24"/>
        </w:rPr>
        <w:t xml:space="preserve"> to the Official Statement, accompanied by a reliance letter from Bond Counsel to the effect that such opinions </w:t>
      </w:r>
      <w:r w:rsidRPr="006410FC">
        <w:rPr>
          <w:szCs w:val="24"/>
        </w:rPr>
        <w:lastRenderedPageBreak/>
        <w:t xml:space="preserve">may be relied upon by the </w:t>
      </w:r>
      <w:r w:rsidR="004F12C5" w:rsidRPr="006410FC">
        <w:rPr>
          <w:szCs w:val="24"/>
        </w:rPr>
        <w:t>Underwriter</w:t>
      </w:r>
      <w:r w:rsidRPr="006410FC">
        <w:rPr>
          <w:szCs w:val="24"/>
        </w:rPr>
        <w:t xml:space="preserve"> with the same effect as if such opinions were addressed to them;</w:t>
      </w:r>
    </w:p>
    <w:p w:rsidR="00306F34" w:rsidRPr="006410FC" w:rsidRDefault="00306F34">
      <w:pPr>
        <w:pStyle w:val="Heading3"/>
        <w:rPr>
          <w:szCs w:val="24"/>
        </w:rPr>
      </w:pPr>
      <w:r w:rsidRPr="006410FC">
        <w:rPr>
          <w:szCs w:val="24"/>
        </w:rPr>
        <w:t>An opinion</w:t>
      </w:r>
      <w:r w:rsidR="003B1E96">
        <w:rPr>
          <w:szCs w:val="24"/>
        </w:rPr>
        <w:t xml:space="preserve"> </w:t>
      </w:r>
      <w:r w:rsidR="003B1E96" w:rsidRPr="006410FC">
        <w:rPr>
          <w:szCs w:val="24"/>
        </w:rPr>
        <w:t>of Bond Counsel</w:t>
      </w:r>
      <w:r w:rsidRPr="006410FC">
        <w:rPr>
          <w:szCs w:val="24"/>
        </w:rPr>
        <w:t xml:space="preserve">, dated the </w:t>
      </w:r>
      <w:r w:rsidR="009E68C1">
        <w:rPr>
          <w:szCs w:val="24"/>
        </w:rPr>
        <w:t>Closing Date</w:t>
      </w:r>
      <w:r w:rsidRPr="006410FC">
        <w:rPr>
          <w:szCs w:val="24"/>
        </w:rPr>
        <w:t xml:space="preserve"> and addressed to the </w:t>
      </w:r>
      <w:r w:rsidR="004F12C5" w:rsidRPr="006410FC">
        <w:rPr>
          <w:szCs w:val="24"/>
        </w:rPr>
        <w:t>Underwriter</w:t>
      </w:r>
      <w:r w:rsidRPr="006410FC">
        <w:rPr>
          <w:szCs w:val="24"/>
        </w:rPr>
        <w:t xml:space="preserve">, in substantially the form attached hereto as </w:t>
      </w:r>
      <w:r w:rsidRPr="00A246A5">
        <w:rPr>
          <w:szCs w:val="24"/>
          <w:u w:val="single"/>
        </w:rPr>
        <w:t>Exhibit B</w:t>
      </w:r>
      <w:r w:rsidRPr="006410FC">
        <w:rPr>
          <w:szCs w:val="24"/>
        </w:rPr>
        <w:t>;</w:t>
      </w:r>
    </w:p>
    <w:p w:rsidR="00306F34" w:rsidRPr="006410FC" w:rsidRDefault="00306F34">
      <w:pPr>
        <w:pStyle w:val="Heading3"/>
        <w:rPr>
          <w:szCs w:val="24"/>
        </w:rPr>
      </w:pPr>
      <w:r w:rsidRPr="006410FC">
        <w:rPr>
          <w:szCs w:val="24"/>
        </w:rPr>
        <w:t xml:space="preserve">An opinion or opinions of counsel to the Borrower, dated the </w:t>
      </w:r>
      <w:r w:rsidR="009E68C1">
        <w:rPr>
          <w:szCs w:val="24"/>
        </w:rPr>
        <w:t>Closing Date</w:t>
      </w:r>
      <w:r w:rsidRPr="006410FC">
        <w:rPr>
          <w:szCs w:val="24"/>
        </w:rPr>
        <w:t xml:space="preserve"> and addressed to the </w:t>
      </w:r>
      <w:r w:rsidR="004F12C5" w:rsidRPr="006410FC">
        <w:rPr>
          <w:szCs w:val="24"/>
        </w:rPr>
        <w:t>Underwriter</w:t>
      </w:r>
      <w:r w:rsidRPr="006410FC">
        <w:rPr>
          <w:szCs w:val="24"/>
        </w:rPr>
        <w:t xml:space="preserve">, in substantially the form attached hereto as </w:t>
      </w:r>
      <w:r w:rsidRPr="00A246A5">
        <w:rPr>
          <w:szCs w:val="24"/>
          <w:u w:val="single"/>
        </w:rPr>
        <w:t>Exhibit C</w:t>
      </w:r>
      <w:r w:rsidRPr="006410FC">
        <w:rPr>
          <w:szCs w:val="24"/>
        </w:rPr>
        <w:t>;</w:t>
      </w:r>
    </w:p>
    <w:p w:rsidR="00306F34" w:rsidRPr="006410FC" w:rsidRDefault="00306F34">
      <w:pPr>
        <w:pStyle w:val="Heading3"/>
        <w:rPr>
          <w:szCs w:val="24"/>
        </w:rPr>
      </w:pPr>
      <w:r w:rsidRPr="006410FC">
        <w:rPr>
          <w:szCs w:val="24"/>
        </w:rPr>
        <w:t xml:space="preserve">An opinion, dated the </w:t>
      </w:r>
      <w:r w:rsidR="009E68C1">
        <w:rPr>
          <w:szCs w:val="24"/>
        </w:rPr>
        <w:t>Closing Date</w:t>
      </w:r>
      <w:r w:rsidRPr="006410FC">
        <w:rPr>
          <w:szCs w:val="24"/>
        </w:rPr>
        <w:t xml:space="preserve"> and addressed to the </w:t>
      </w:r>
      <w:r w:rsidR="004F12C5" w:rsidRPr="006410FC">
        <w:rPr>
          <w:szCs w:val="24"/>
        </w:rPr>
        <w:t>Underwriter</w:t>
      </w:r>
      <w:r w:rsidRPr="006410FC">
        <w:rPr>
          <w:szCs w:val="24"/>
        </w:rPr>
        <w:t xml:space="preserve">, of the Issuer’s Counsel, in substantially the form attached hereto as </w:t>
      </w:r>
      <w:r w:rsidRPr="00A246A5">
        <w:rPr>
          <w:szCs w:val="24"/>
          <w:u w:val="single"/>
        </w:rPr>
        <w:t xml:space="preserve">Exhibit </w:t>
      </w:r>
      <w:r w:rsidR="009E0E89" w:rsidRPr="00A246A5">
        <w:rPr>
          <w:szCs w:val="24"/>
          <w:u w:val="single"/>
        </w:rPr>
        <w:t>D</w:t>
      </w:r>
      <w:r w:rsidRPr="006410FC">
        <w:rPr>
          <w:szCs w:val="24"/>
        </w:rPr>
        <w:t>;</w:t>
      </w:r>
    </w:p>
    <w:p w:rsidR="00306F34" w:rsidRPr="006410FC" w:rsidRDefault="00306F34">
      <w:pPr>
        <w:pStyle w:val="Heading3"/>
        <w:rPr>
          <w:szCs w:val="24"/>
        </w:rPr>
      </w:pPr>
      <w:r w:rsidRPr="006410FC">
        <w:rPr>
          <w:szCs w:val="24"/>
        </w:rPr>
        <w:t>A certificate of the Trustee, to the effect that:</w:t>
      </w:r>
    </w:p>
    <w:p w:rsidR="00306F34" w:rsidRPr="006410FC" w:rsidRDefault="00306F34">
      <w:pPr>
        <w:pStyle w:val="Heading4"/>
        <w:rPr>
          <w:szCs w:val="24"/>
        </w:rPr>
      </w:pPr>
      <w:r w:rsidRPr="006410FC">
        <w:rPr>
          <w:szCs w:val="24"/>
        </w:rPr>
        <w:t xml:space="preserve">Due Organization and Existence </w:t>
      </w:r>
      <w:r w:rsidR="00D443A5">
        <w:rPr>
          <w:szCs w:val="24"/>
        </w:rPr>
        <w:t>–</w:t>
      </w:r>
      <w:r w:rsidRPr="006410FC">
        <w:rPr>
          <w:szCs w:val="24"/>
        </w:rPr>
        <w:t xml:space="preserve"> the Trustee is duly organized and existing as a national banking association in good standing under the laws of the United States having the full power and authority to enter into and perform its duties under the Indenture, the Loan Agreement and the </w:t>
      </w:r>
      <w:r w:rsidR="00F65457">
        <w:rPr>
          <w:szCs w:val="24"/>
        </w:rPr>
        <w:t>Regulatory Agreement</w:t>
      </w:r>
      <w:r w:rsidR="00D443A5">
        <w:rPr>
          <w:szCs w:val="24"/>
        </w:rPr>
        <w:t>s</w:t>
      </w:r>
      <w:r w:rsidRPr="006410FC">
        <w:rPr>
          <w:szCs w:val="24"/>
        </w:rPr>
        <w:t xml:space="preserve"> and to authenticate and deliver the </w:t>
      </w:r>
      <w:r w:rsidR="00CE166D" w:rsidRPr="006410FC">
        <w:rPr>
          <w:szCs w:val="24"/>
        </w:rPr>
        <w:t>Bond</w:t>
      </w:r>
      <w:r w:rsidR="004F36C2" w:rsidRPr="006410FC">
        <w:rPr>
          <w:szCs w:val="24"/>
        </w:rPr>
        <w:t>s</w:t>
      </w:r>
      <w:r w:rsidRPr="006410FC">
        <w:rPr>
          <w:szCs w:val="24"/>
        </w:rPr>
        <w:t xml:space="preserve"> to the </w:t>
      </w:r>
      <w:r w:rsidR="004F12C5" w:rsidRPr="006410FC">
        <w:rPr>
          <w:szCs w:val="24"/>
        </w:rPr>
        <w:t>Underwriter</w:t>
      </w:r>
      <w:r w:rsidRPr="006410FC">
        <w:rPr>
          <w:szCs w:val="24"/>
        </w:rPr>
        <w:t xml:space="preserve"> pursuant to the terms of the Indenture;</w:t>
      </w:r>
    </w:p>
    <w:p w:rsidR="00306F34" w:rsidRPr="006410FC" w:rsidRDefault="00306F34">
      <w:pPr>
        <w:pStyle w:val="Heading4"/>
        <w:rPr>
          <w:szCs w:val="24"/>
        </w:rPr>
      </w:pPr>
      <w:r w:rsidRPr="006410FC">
        <w:rPr>
          <w:szCs w:val="24"/>
        </w:rPr>
        <w:t>Due Authorization; Valid and Binding Obligations</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the Trustee is duly authorized to enter into the Indenture, the Loan Agreement and the </w:t>
      </w:r>
      <w:r w:rsidR="00F65457">
        <w:rPr>
          <w:szCs w:val="24"/>
        </w:rPr>
        <w:t>Regulatory Agreement</w:t>
      </w:r>
      <w:r w:rsidR="00D443A5">
        <w:rPr>
          <w:szCs w:val="24"/>
        </w:rPr>
        <w:t>s</w:t>
      </w:r>
      <w:r w:rsidRPr="006410FC">
        <w:rPr>
          <w:szCs w:val="24"/>
        </w:rPr>
        <w:t xml:space="preserve"> and to authenticate and deliver the </w:t>
      </w:r>
      <w:r w:rsidR="00CE166D" w:rsidRPr="006410FC">
        <w:rPr>
          <w:szCs w:val="24"/>
        </w:rPr>
        <w:t>Bond</w:t>
      </w:r>
      <w:r w:rsidR="004F36C2" w:rsidRPr="006410FC">
        <w:rPr>
          <w:szCs w:val="24"/>
        </w:rPr>
        <w:t>s</w:t>
      </w:r>
      <w:r w:rsidRPr="006410FC">
        <w:rPr>
          <w:szCs w:val="24"/>
        </w:rPr>
        <w:t>; and</w:t>
      </w:r>
    </w:p>
    <w:p w:rsidR="00306F34" w:rsidRPr="006410FC" w:rsidRDefault="00306F34">
      <w:pPr>
        <w:pStyle w:val="Heading4"/>
        <w:rPr>
          <w:szCs w:val="24"/>
        </w:rPr>
      </w:pPr>
      <w:r w:rsidRPr="006410FC">
        <w:rPr>
          <w:szCs w:val="24"/>
        </w:rPr>
        <w:t>No Conflict</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to the best of the knowledge of the Trustee, after due investigation, the execution and delivery by the Trustee of the Indenture, the Loan Agreement and the </w:t>
      </w:r>
      <w:r w:rsidR="00F65457">
        <w:rPr>
          <w:szCs w:val="24"/>
        </w:rPr>
        <w:t>Regulatory Agreement</w:t>
      </w:r>
      <w:r w:rsidR="00D443A5">
        <w:rPr>
          <w:szCs w:val="24"/>
        </w:rPr>
        <w:t>s</w:t>
      </w:r>
      <w:r w:rsidRPr="006410FC">
        <w:rPr>
          <w:szCs w:val="24"/>
        </w:rPr>
        <w:t xml:space="preserve"> and compliance with the terms thereof, and the authentication and delivery of the </w:t>
      </w:r>
      <w:r w:rsidR="00CE166D" w:rsidRPr="006410FC">
        <w:rPr>
          <w:szCs w:val="24"/>
        </w:rPr>
        <w:t>Bond</w:t>
      </w:r>
      <w:r w:rsidR="004F36C2" w:rsidRPr="006410FC">
        <w:rPr>
          <w:szCs w:val="24"/>
        </w:rPr>
        <w:t>s</w:t>
      </w:r>
      <w:r w:rsidRPr="006410FC">
        <w:rPr>
          <w:szCs w:val="24"/>
        </w:rPr>
        <w:t>, will not, in any material respect, conflict with, or result in a violation or breach of, or constitute a default under, any loan agreement, indenture, bond, note, resolution or any other agreement or instrument to which the Trustee is a party or by which it is bound, or any law or any rule, regulation, order or decree of any court or governmental agency or body having jurisdiction over the Trustee or any of its activities or properties, or (except with respect to the lien of the Indenture) result in the creation or imposition of any lien, charge or other security interest or encumbrance of any nature whatsoever upon any of the property or assets of the Trustee;</w:t>
      </w:r>
    </w:p>
    <w:p w:rsidR="00306F34" w:rsidRPr="006410FC" w:rsidRDefault="00306F34">
      <w:pPr>
        <w:pStyle w:val="Heading3"/>
        <w:rPr>
          <w:szCs w:val="24"/>
        </w:rPr>
      </w:pPr>
      <w:r w:rsidRPr="006410FC">
        <w:rPr>
          <w:szCs w:val="24"/>
        </w:rPr>
        <w:t>An opinion of counsel to the Trustee, to the effect that:</w:t>
      </w:r>
    </w:p>
    <w:p w:rsidR="00306F34" w:rsidRPr="006410FC" w:rsidRDefault="00306F34">
      <w:pPr>
        <w:pStyle w:val="Heading4"/>
        <w:rPr>
          <w:szCs w:val="24"/>
        </w:rPr>
      </w:pPr>
      <w:r w:rsidRPr="006410FC">
        <w:rPr>
          <w:szCs w:val="24"/>
        </w:rPr>
        <w:t>Due Organization and Existence</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the Trustee has been duly organized and is validly existing and in good standing as a national banking association under the laws of the United States with full corporate power to </w:t>
      </w:r>
      <w:r w:rsidRPr="006410FC">
        <w:rPr>
          <w:szCs w:val="24"/>
        </w:rPr>
        <w:lastRenderedPageBreak/>
        <w:t xml:space="preserve">undertake the trusts of the Indenture, and to perform the obligations of the Trustee under the Loan Agreement and the </w:t>
      </w:r>
      <w:r w:rsidR="00F65457">
        <w:rPr>
          <w:szCs w:val="24"/>
        </w:rPr>
        <w:t>Regulatory Agreement</w:t>
      </w:r>
      <w:r w:rsidR="00D443A5">
        <w:rPr>
          <w:szCs w:val="24"/>
        </w:rPr>
        <w:t>s</w:t>
      </w:r>
      <w:r w:rsidRPr="006410FC">
        <w:rPr>
          <w:szCs w:val="24"/>
        </w:rPr>
        <w:t>;</w:t>
      </w:r>
    </w:p>
    <w:p w:rsidR="00306F34" w:rsidRPr="006410FC" w:rsidRDefault="00306F34">
      <w:pPr>
        <w:pStyle w:val="Heading4"/>
        <w:rPr>
          <w:szCs w:val="24"/>
        </w:rPr>
      </w:pPr>
      <w:r w:rsidRPr="006410FC">
        <w:rPr>
          <w:szCs w:val="24"/>
        </w:rPr>
        <w:t>Corporate Action</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the Trustee has duly authorized, executed and delivered the Indenture, the Loan Agreement and the </w:t>
      </w:r>
      <w:r w:rsidR="00F65457">
        <w:rPr>
          <w:szCs w:val="24"/>
        </w:rPr>
        <w:t>Regulatory Agreement</w:t>
      </w:r>
      <w:r w:rsidRPr="006410FC">
        <w:rPr>
          <w:szCs w:val="24"/>
        </w:rPr>
        <w:t xml:space="preserve">, and by all proper corporate action has authorized the acceptance of the duties and obligations of the Trustee under the Indenture, the Loan Agreement and the </w:t>
      </w:r>
      <w:r w:rsidR="00F65457">
        <w:rPr>
          <w:szCs w:val="24"/>
        </w:rPr>
        <w:t>Regulatory Agreement</w:t>
      </w:r>
      <w:r w:rsidR="00D443A5">
        <w:rPr>
          <w:szCs w:val="24"/>
        </w:rPr>
        <w:t>s</w:t>
      </w:r>
      <w:r w:rsidRPr="006410FC">
        <w:rPr>
          <w:szCs w:val="24"/>
        </w:rPr>
        <w:t xml:space="preserve"> and to authorize in such capacity the authentication and delivery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4"/>
        <w:rPr>
          <w:szCs w:val="24"/>
        </w:rPr>
      </w:pPr>
      <w:r w:rsidRPr="006410FC">
        <w:rPr>
          <w:szCs w:val="24"/>
        </w:rPr>
        <w:t>Due Authorization, Execution and Delivery</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assuming due authorization, execution and delivery by the Issuer and the Borrower, as applicable, the Indenture, the Loan Agreement and the </w:t>
      </w:r>
      <w:r w:rsidR="00F65457">
        <w:rPr>
          <w:szCs w:val="24"/>
        </w:rPr>
        <w:t>Regulatory Agreement</w:t>
      </w:r>
      <w:r w:rsidR="00D443A5">
        <w:rPr>
          <w:szCs w:val="24"/>
        </w:rPr>
        <w:t>s</w:t>
      </w:r>
      <w:r w:rsidRPr="006410FC">
        <w:rPr>
          <w:szCs w:val="24"/>
        </w:rPr>
        <w:t xml:space="preserve"> are the valid, legal and binding agreements of the Trustee, enforceable in accordance with their respective terms, except as such enforcement may be limited by bankruptcy, insolvency, reorganization or other similar laws affecting the enforcement of creditors’ rights in general and by general equity principles (regardless of whether such enforcement is considered in a proceeding in equity or at law);</w:t>
      </w:r>
    </w:p>
    <w:p w:rsidR="00306F34" w:rsidRPr="006410FC" w:rsidRDefault="00306F34">
      <w:pPr>
        <w:pStyle w:val="Heading4"/>
        <w:rPr>
          <w:szCs w:val="24"/>
        </w:rPr>
      </w:pPr>
      <w:r w:rsidRPr="006410FC">
        <w:rPr>
          <w:szCs w:val="24"/>
        </w:rPr>
        <w:t>Consents</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exclusive of federal or state securities laws and regulations, to the best of such counsel’s knowledge after reasonable inquiry and investigation, other than routine filings required to be made with governmental agencies in order to preserve the Trustee’s authority to perform a trust business (all of which routine filings such counsel believes, after reasonable inquiry and investigation, to have been made), no consent, approval, authorization or other action by any governmental or regulatory authority having jurisdiction over the Trustee is or will be required for the execution and delivery by the Trustee of the Indenture or the execution and delivery of the </w:t>
      </w:r>
      <w:r w:rsidR="00CE166D" w:rsidRPr="006410FC">
        <w:rPr>
          <w:szCs w:val="24"/>
        </w:rPr>
        <w:t>Bond</w:t>
      </w:r>
      <w:r w:rsidR="004F36C2" w:rsidRPr="006410FC">
        <w:rPr>
          <w:szCs w:val="24"/>
        </w:rPr>
        <w:t>s</w:t>
      </w:r>
      <w:r w:rsidRPr="006410FC">
        <w:rPr>
          <w:szCs w:val="24"/>
        </w:rPr>
        <w:t>; and</w:t>
      </w:r>
    </w:p>
    <w:p w:rsidR="00306F34" w:rsidRPr="006410FC" w:rsidRDefault="00306F34">
      <w:pPr>
        <w:pStyle w:val="Heading4"/>
        <w:rPr>
          <w:szCs w:val="24"/>
        </w:rPr>
      </w:pPr>
      <w:r w:rsidRPr="006410FC">
        <w:rPr>
          <w:szCs w:val="24"/>
        </w:rPr>
        <w:t>No Litigation</w:t>
      </w:r>
      <w:r w:rsidR="00D443A5" w:rsidRPr="006410FC">
        <w:rPr>
          <w:szCs w:val="24"/>
        </w:rPr>
        <w:t xml:space="preserve"> </w:t>
      </w:r>
      <w:r w:rsidR="00D443A5">
        <w:rPr>
          <w:szCs w:val="24"/>
        </w:rPr>
        <w:t>–</w:t>
      </w:r>
      <w:r w:rsidR="00D443A5" w:rsidRPr="006410FC">
        <w:rPr>
          <w:szCs w:val="24"/>
        </w:rPr>
        <w:t xml:space="preserve"> </w:t>
      </w:r>
      <w:r w:rsidRPr="006410FC">
        <w:rPr>
          <w:szCs w:val="24"/>
        </w:rPr>
        <w:t xml:space="preserve">to the best of such counsel’s knowledge, there is no litigation pending or threatened against or affecting the Trustee to restrain or enjoin the Trustee’s participation in, or in any way contesting the powers of the Trustee with respect to the transactions contemplated by the </w:t>
      </w:r>
      <w:r w:rsidR="00CE166D" w:rsidRPr="006410FC">
        <w:rPr>
          <w:szCs w:val="24"/>
        </w:rPr>
        <w:t>Bond</w:t>
      </w:r>
      <w:r w:rsidR="004F36C2" w:rsidRPr="006410FC">
        <w:rPr>
          <w:szCs w:val="24"/>
        </w:rPr>
        <w:t>s</w:t>
      </w:r>
      <w:r w:rsidRPr="006410FC">
        <w:rPr>
          <w:szCs w:val="24"/>
        </w:rPr>
        <w:t xml:space="preserve">, the </w:t>
      </w:r>
      <w:r w:rsidR="00F65457">
        <w:rPr>
          <w:szCs w:val="24"/>
        </w:rPr>
        <w:t>Regulatory Agreement</w:t>
      </w:r>
      <w:r w:rsidR="00A246A5">
        <w:rPr>
          <w:szCs w:val="24"/>
        </w:rPr>
        <w:t>s</w:t>
      </w:r>
      <w:r w:rsidRPr="006410FC">
        <w:rPr>
          <w:szCs w:val="24"/>
        </w:rPr>
        <w:t>, the Loan Agreement and the Indenture;</w:t>
      </w:r>
    </w:p>
    <w:p w:rsidR="00306F34" w:rsidRPr="006410FC" w:rsidRDefault="00306F34">
      <w:pPr>
        <w:pStyle w:val="Heading3"/>
        <w:rPr>
          <w:szCs w:val="24"/>
        </w:rPr>
      </w:pPr>
      <w:r w:rsidRPr="006410FC">
        <w:rPr>
          <w:szCs w:val="24"/>
        </w:rPr>
        <w:t xml:space="preserve">A copy of the general resolution of the Trustee authorizing the execution and delivery of certain documents by certain officers of the Trustee, which resolution authorizes the execution and delivery of the Indenture, the Loan Agreement and the </w:t>
      </w:r>
      <w:r w:rsidR="00F65457">
        <w:rPr>
          <w:szCs w:val="24"/>
        </w:rPr>
        <w:t>Regulatory Agreement</w:t>
      </w:r>
      <w:r w:rsidR="00A246A5">
        <w:rPr>
          <w:szCs w:val="24"/>
        </w:rPr>
        <w:t>s</w:t>
      </w:r>
      <w:r w:rsidRPr="006410FC">
        <w:rPr>
          <w:szCs w:val="24"/>
        </w:rPr>
        <w:t xml:space="preserve">, and the authentication and delivery of the </w:t>
      </w:r>
      <w:r w:rsidR="00CE166D" w:rsidRPr="006410FC">
        <w:rPr>
          <w:szCs w:val="24"/>
        </w:rPr>
        <w:t>Bond</w:t>
      </w:r>
      <w:r w:rsidR="004F36C2" w:rsidRPr="006410FC">
        <w:rPr>
          <w:szCs w:val="24"/>
        </w:rPr>
        <w:t>s</w:t>
      </w:r>
      <w:r w:rsidRPr="006410FC">
        <w:rPr>
          <w:szCs w:val="24"/>
        </w:rPr>
        <w:t>;</w:t>
      </w:r>
    </w:p>
    <w:p w:rsidR="00306F34" w:rsidRDefault="00306F34">
      <w:pPr>
        <w:pStyle w:val="Heading3"/>
        <w:rPr>
          <w:szCs w:val="24"/>
        </w:rPr>
      </w:pPr>
      <w:r w:rsidRPr="006410FC">
        <w:rPr>
          <w:szCs w:val="24"/>
        </w:rPr>
        <w:t xml:space="preserve">Transcripts of all proceedings relating to the authorization and issuance of the </w:t>
      </w:r>
      <w:r w:rsidR="00CE166D" w:rsidRPr="006410FC">
        <w:rPr>
          <w:szCs w:val="24"/>
        </w:rPr>
        <w:t>Bond</w:t>
      </w:r>
      <w:r w:rsidR="004F36C2" w:rsidRPr="006410FC">
        <w:rPr>
          <w:szCs w:val="24"/>
        </w:rPr>
        <w:t>s</w:t>
      </w:r>
      <w:r w:rsidRPr="006410FC">
        <w:rPr>
          <w:szCs w:val="24"/>
        </w:rPr>
        <w:t xml:space="preserve"> certified by the Secretary of the Issuer;</w:t>
      </w:r>
    </w:p>
    <w:p w:rsidR="003B1E96" w:rsidRPr="00D443A5" w:rsidRDefault="003B1E96" w:rsidP="00FF18AA">
      <w:pPr>
        <w:pStyle w:val="Heading3"/>
        <w:rPr>
          <w:szCs w:val="24"/>
        </w:rPr>
      </w:pPr>
      <w:r w:rsidRPr="00D443A5">
        <w:rPr>
          <w:szCs w:val="24"/>
        </w:rPr>
        <w:lastRenderedPageBreak/>
        <w:t xml:space="preserve">An executed Tax Certificate </w:t>
      </w:r>
      <w:r w:rsidR="00D443A5" w:rsidRPr="00D443A5">
        <w:rPr>
          <w:szCs w:val="24"/>
        </w:rPr>
        <w:t>and Agreement, dated as of the Closing Date, executed by the</w:t>
      </w:r>
      <w:r w:rsidRPr="00D443A5">
        <w:rPr>
          <w:szCs w:val="24"/>
        </w:rPr>
        <w:t xml:space="preserve"> Issuer</w:t>
      </w:r>
      <w:r w:rsidR="00D443A5" w:rsidRPr="00D443A5">
        <w:rPr>
          <w:szCs w:val="24"/>
        </w:rPr>
        <w:t xml:space="preserve">, </w:t>
      </w:r>
      <w:r w:rsidR="00D443A5" w:rsidRPr="00D443A5">
        <w:t xml:space="preserve">Augusta Homes, a California nonprofit public benefit corporation, </w:t>
      </w:r>
      <w:r w:rsidR="00D443A5">
        <w:t xml:space="preserve">as the sole member of the Borrower, the Borrower, and the Trustee </w:t>
      </w:r>
      <w:r w:rsidRPr="00D443A5">
        <w:rPr>
          <w:szCs w:val="24"/>
        </w:rPr>
        <w:t>with respect to the Series A Bonds in form and substance acceptable to Bond Counsel;</w:t>
      </w:r>
    </w:p>
    <w:p w:rsidR="00306F34" w:rsidRPr="006410FC" w:rsidRDefault="00306F34" w:rsidP="00612217">
      <w:pPr>
        <w:pStyle w:val="Heading3"/>
        <w:rPr>
          <w:szCs w:val="24"/>
        </w:rPr>
      </w:pPr>
      <w:r w:rsidRPr="006410FC">
        <w:rPr>
          <w:szCs w:val="24"/>
        </w:rPr>
        <w:t xml:space="preserve">The written consent of </w:t>
      </w:r>
      <w:r w:rsidR="00612217" w:rsidRPr="006410FC">
        <w:rPr>
          <w:szCs w:val="24"/>
        </w:rPr>
        <w:t>John P. Neet, MAI</w:t>
      </w:r>
      <w:r w:rsidRPr="006410FC">
        <w:rPr>
          <w:szCs w:val="24"/>
        </w:rPr>
        <w:t xml:space="preserve"> (the “Appraiser”) to use the appraisal</w:t>
      </w:r>
      <w:r w:rsidR="00861C46" w:rsidRPr="006410FC">
        <w:rPr>
          <w:szCs w:val="24"/>
        </w:rPr>
        <w:t>s</w:t>
      </w:r>
      <w:r w:rsidRPr="006410FC">
        <w:rPr>
          <w:szCs w:val="24"/>
        </w:rPr>
        <w:t xml:space="preserve"> of the </w:t>
      </w:r>
      <w:r w:rsidR="00F65457">
        <w:rPr>
          <w:szCs w:val="24"/>
        </w:rPr>
        <w:t>Project</w:t>
      </w:r>
      <w:r w:rsidR="004C0D47">
        <w:rPr>
          <w:szCs w:val="24"/>
        </w:rPr>
        <w:t>s</w:t>
      </w:r>
      <w:r w:rsidRPr="006410FC">
        <w:rPr>
          <w:szCs w:val="24"/>
        </w:rPr>
        <w:t xml:space="preserve"> and excerpts therefrom in the Preliminary Official Statement and the Official Statement, along with a certificate of the Appraiser to the effect that the information with respect to the </w:t>
      </w:r>
      <w:r w:rsidR="00D22055" w:rsidRPr="006410FC">
        <w:rPr>
          <w:szCs w:val="24"/>
        </w:rPr>
        <w:t>a</w:t>
      </w:r>
      <w:r w:rsidRPr="006410FC">
        <w:rPr>
          <w:szCs w:val="24"/>
        </w:rPr>
        <w:t>ppraisal</w:t>
      </w:r>
      <w:r w:rsidR="00861C46" w:rsidRPr="006410FC">
        <w:rPr>
          <w:szCs w:val="24"/>
        </w:rPr>
        <w:t>s</w:t>
      </w:r>
      <w:r w:rsidRPr="006410FC">
        <w:rPr>
          <w:szCs w:val="24"/>
        </w:rPr>
        <w:t xml:space="preserve"> in the Preliminary Official Statement and the Official Statement </w:t>
      </w:r>
      <w:r w:rsidR="00D22055" w:rsidRPr="006410FC">
        <w:rPr>
          <w:szCs w:val="24"/>
        </w:rPr>
        <w:t>are</w:t>
      </w:r>
      <w:r w:rsidRPr="006410FC">
        <w:rPr>
          <w:szCs w:val="24"/>
        </w:rPr>
        <w:t xml:space="preserve"> accurate;</w:t>
      </w:r>
    </w:p>
    <w:p w:rsidR="00306F34" w:rsidRDefault="00306F34">
      <w:pPr>
        <w:pStyle w:val="Heading3"/>
        <w:rPr>
          <w:szCs w:val="24"/>
        </w:rPr>
      </w:pPr>
      <w:r w:rsidRPr="006410FC">
        <w:rPr>
          <w:szCs w:val="24"/>
        </w:rPr>
        <w:t xml:space="preserve">A rating letter from </w:t>
      </w:r>
      <w:r w:rsidR="00A246A5">
        <w:rPr>
          <w:szCs w:val="24"/>
        </w:rPr>
        <w:t xml:space="preserve">S&amp;P Global Ratings </w:t>
      </w:r>
      <w:r w:rsidRPr="006410FC">
        <w:rPr>
          <w:szCs w:val="24"/>
        </w:rPr>
        <w:t>confirming its rating of “</w:t>
      </w:r>
      <w:r w:rsidR="00F767FC">
        <w:rPr>
          <w:szCs w:val="24"/>
        </w:rPr>
        <w:t>[</w:t>
      </w:r>
      <w:r w:rsidR="009150FB">
        <w:rPr>
          <w:szCs w:val="24"/>
        </w:rPr>
        <w:t>__</w:t>
      </w:r>
      <w:r w:rsidR="00F767FC">
        <w:rPr>
          <w:szCs w:val="24"/>
        </w:rPr>
        <w:t>]</w:t>
      </w:r>
      <w:r w:rsidRPr="006410FC">
        <w:rPr>
          <w:szCs w:val="24"/>
        </w:rPr>
        <w:t xml:space="preserve">” on the </w:t>
      </w:r>
      <w:r w:rsidR="00CE166D" w:rsidRPr="006410FC">
        <w:rPr>
          <w:szCs w:val="24"/>
        </w:rPr>
        <w:t>Bond</w:t>
      </w:r>
      <w:r w:rsidR="004F36C2" w:rsidRPr="006410FC">
        <w:rPr>
          <w:szCs w:val="24"/>
        </w:rPr>
        <w:t>s</w:t>
      </w:r>
      <w:r w:rsidRPr="006410FC">
        <w:rPr>
          <w:szCs w:val="24"/>
        </w:rPr>
        <w:t>;</w:t>
      </w:r>
    </w:p>
    <w:p w:rsidR="00D443A5" w:rsidRPr="00D443A5" w:rsidRDefault="00D443A5" w:rsidP="00D443A5">
      <w:pPr>
        <w:pStyle w:val="Heading3"/>
      </w:pPr>
      <w:r>
        <w:t xml:space="preserve">Evidence that the Montclair RDA Loan Notes (as defined in the Preliminary Official Statement) have been repaid in full and the Montclair RDA Loan Mortgages (as defined in the Preliminary Official Statement) have been released; </w:t>
      </w:r>
    </w:p>
    <w:p w:rsidR="00306F34" w:rsidRPr="006410FC" w:rsidRDefault="00306F34">
      <w:pPr>
        <w:pStyle w:val="Heading3"/>
        <w:rPr>
          <w:szCs w:val="24"/>
        </w:rPr>
      </w:pPr>
      <w:r w:rsidRPr="006410FC">
        <w:rPr>
          <w:szCs w:val="24"/>
        </w:rPr>
        <w:t xml:space="preserve">Evidence that all insurance for the </w:t>
      </w:r>
      <w:r w:rsidR="00F65457">
        <w:rPr>
          <w:szCs w:val="24"/>
        </w:rPr>
        <w:t>Project</w:t>
      </w:r>
      <w:r w:rsidR="004C0D47">
        <w:rPr>
          <w:szCs w:val="24"/>
        </w:rPr>
        <w:t>s</w:t>
      </w:r>
      <w:r w:rsidRPr="006410FC">
        <w:rPr>
          <w:szCs w:val="24"/>
        </w:rPr>
        <w:t xml:space="preserve"> required under the Borrower Documents is in full force and effect;</w:t>
      </w:r>
      <w:r w:rsidR="00D443A5">
        <w:rPr>
          <w:szCs w:val="24"/>
        </w:rPr>
        <w:t xml:space="preserve"> and </w:t>
      </w:r>
    </w:p>
    <w:p w:rsidR="00306F34" w:rsidRDefault="00306F34">
      <w:pPr>
        <w:pStyle w:val="Heading3"/>
        <w:rPr>
          <w:szCs w:val="24"/>
        </w:rPr>
      </w:pPr>
      <w:r w:rsidRPr="006410FC">
        <w:rPr>
          <w:szCs w:val="24"/>
        </w:rPr>
        <w:t xml:space="preserve">Such additional legal opinions, certificates, instruments and other documents as the </w:t>
      </w:r>
      <w:r w:rsidR="004F12C5" w:rsidRPr="006410FC">
        <w:rPr>
          <w:szCs w:val="24"/>
        </w:rPr>
        <w:t>Underwriter</w:t>
      </w:r>
      <w:r w:rsidRPr="006410FC">
        <w:rPr>
          <w:szCs w:val="24"/>
        </w:rPr>
        <w:t xml:space="preserve"> may reasonably request to evidence the truth and accuracy, as of the date hereof and as of the </w:t>
      </w:r>
      <w:r w:rsidR="009E68C1">
        <w:rPr>
          <w:szCs w:val="24"/>
        </w:rPr>
        <w:t>Closing Date</w:t>
      </w:r>
      <w:r w:rsidRPr="006410FC">
        <w:rPr>
          <w:szCs w:val="24"/>
        </w:rPr>
        <w:t xml:space="preserve">, of the Issuer’s and the Borrower’s representations and warranties contained herein and of the statements and information contained in the Official Statement and the due performance or satisfaction by the Issuer and the Borrower on or prior to the </w:t>
      </w:r>
      <w:r w:rsidR="009E68C1">
        <w:rPr>
          <w:szCs w:val="24"/>
        </w:rPr>
        <w:t>Closing Date</w:t>
      </w:r>
      <w:r w:rsidRPr="006410FC">
        <w:rPr>
          <w:szCs w:val="24"/>
        </w:rPr>
        <w:t xml:space="preserve"> of all the agreements then to be performed and conditions then to be satisfied by it.</w:t>
      </w:r>
    </w:p>
    <w:p w:rsidR="00D443A5" w:rsidRPr="00D443A5" w:rsidRDefault="00D443A5" w:rsidP="00D443A5">
      <w:pPr>
        <w:pStyle w:val="Heading3"/>
      </w:pPr>
      <w:r>
        <w:t>[OTHER CONDITIONS]</w:t>
      </w:r>
    </w:p>
    <w:p w:rsidR="00306F34" w:rsidRPr="006410FC" w:rsidRDefault="00306F34">
      <w:pPr>
        <w:pStyle w:val="00BodyText5"/>
      </w:pPr>
      <w:r w:rsidRPr="006410FC">
        <w:t xml:space="preserve">All the opinions, letters, certificates, instruments and other documents mentioned above or elsewhere in this Purchase Contract shall be deemed to be in compliance with the provisions hereof if, but only if, they are in form and substance satisfactory to Bond Counsel and the </w:t>
      </w:r>
      <w:r w:rsidR="004F12C5" w:rsidRPr="006410FC">
        <w:t>Underwriter</w:t>
      </w:r>
      <w:r w:rsidRPr="006410FC">
        <w:t>.  The opinions and agreements set forth as exhibits hereto and as appendices to the Official Statement shall be deemed satisfactory provided they are substantially in the form of such attached exhibits or appendices.</w:t>
      </w:r>
    </w:p>
    <w:p w:rsidR="00306F34" w:rsidRPr="006410FC" w:rsidRDefault="00306F34">
      <w:pPr>
        <w:pStyle w:val="00BodyText5"/>
      </w:pPr>
      <w:r w:rsidRPr="006410FC">
        <w:t xml:space="preserve">If the Issuer or the Borrower shall be unable to satisfy the conditions to the obligations of the </w:t>
      </w:r>
      <w:r w:rsidR="004F12C5" w:rsidRPr="006410FC">
        <w:t>Underwriter</w:t>
      </w:r>
      <w:r w:rsidRPr="006410FC">
        <w:t xml:space="preserve"> to purchase, to accept delivery of and to pay for the </w:t>
      </w:r>
      <w:r w:rsidR="00CE166D" w:rsidRPr="006410FC">
        <w:t>Bond</w:t>
      </w:r>
      <w:r w:rsidR="004F36C2" w:rsidRPr="006410FC">
        <w:t>s</w:t>
      </w:r>
      <w:r w:rsidRPr="006410FC">
        <w:t xml:space="preserve"> contained in this Purchase Contract, or if the obligations of the </w:t>
      </w:r>
      <w:r w:rsidR="004F12C5" w:rsidRPr="006410FC">
        <w:t>Underwriter</w:t>
      </w:r>
      <w:r w:rsidRPr="006410FC">
        <w:t xml:space="preserve"> to purchase, to accept delivery of and to pay for the </w:t>
      </w:r>
      <w:r w:rsidR="00CE166D" w:rsidRPr="006410FC">
        <w:t>Bond</w:t>
      </w:r>
      <w:r w:rsidR="004F36C2" w:rsidRPr="006410FC">
        <w:t>s</w:t>
      </w:r>
      <w:r w:rsidRPr="006410FC">
        <w:t xml:space="preserve"> shall be terminated for any reason permitted by this Purchase Contract, this Purchase Contract shall terminate and none of the </w:t>
      </w:r>
      <w:r w:rsidR="004F12C5" w:rsidRPr="006410FC">
        <w:t>Underwriter</w:t>
      </w:r>
      <w:r w:rsidRPr="006410FC">
        <w:t>, the Issuer or the Borrower shall be under any further obligation hereunder.</w:t>
      </w:r>
    </w:p>
    <w:p w:rsidR="00306F34" w:rsidRPr="006410FC" w:rsidRDefault="00306F34">
      <w:pPr>
        <w:pStyle w:val="Heading1"/>
        <w:rPr>
          <w:szCs w:val="24"/>
        </w:rPr>
      </w:pPr>
      <w:r w:rsidRPr="006410FC">
        <w:rPr>
          <w:szCs w:val="24"/>
          <w:u w:val="single"/>
        </w:rPr>
        <w:lastRenderedPageBreak/>
        <w:t>Termination</w:t>
      </w:r>
      <w:r w:rsidRPr="006410FC">
        <w:rPr>
          <w:szCs w:val="24"/>
        </w:rPr>
        <w:t xml:space="preserve">.  The </w:t>
      </w:r>
      <w:r w:rsidR="004F12C5" w:rsidRPr="006410FC">
        <w:rPr>
          <w:szCs w:val="24"/>
        </w:rPr>
        <w:t>Underwriter</w:t>
      </w:r>
      <w:r w:rsidRPr="006410FC">
        <w:rPr>
          <w:szCs w:val="24"/>
        </w:rPr>
        <w:t xml:space="preserve"> shall have the right to terminate the </w:t>
      </w:r>
      <w:r w:rsidR="004F12C5" w:rsidRPr="006410FC">
        <w:rPr>
          <w:szCs w:val="24"/>
        </w:rPr>
        <w:t>Underwriter</w:t>
      </w:r>
      <w:r w:rsidRPr="006410FC">
        <w:rPr>
          <w:szCs w:val="24"/>
        </w:rPr>
        <w:t>’</w:t>
      </w:r>
      <w:r w:rsidR="00461E47" w:rsidRPr="006410FC">
        <w:rPr>
          <w:szCs w:val="24"/>
        </w:rPr>
        <w:t>s</w:t>
      </w:r>
      <w:r w:rsidRPr="006410FC">
        <w:rPr>
          <w:szCs w:val="24"/>
        </w:rPr>
        <w:t xml:space="preserve"> obligations under this Purchase Contract to purchase, to accept delivery of and to pay for the </w:t>
      </w:r>
      <w:r w:rsidR="00CE166D" w:rsidRPr="006410FC">
        <w:rPr>
          <w:szCs w:val="24"/>
        </w:rPr>
        <w:t>Bond</w:t>
      </w:r>
      <w:r w:rsidR="004F36C2" w:rsidRPr="006410FC">
        <w:rPr>
          <w:szCs w:val="24"/>
        </w:rPr>
        <w:t>s</w:t>
      </w:r>
      <w:r w:rsidRPr="006410FC">
        <w:rPr>
          <w:szCs w:val="24"/>
        </w:rPr>
        <w:t xml:space="preserve"> by notifying the Issuer and the Borrower, in writing, of its election to do so, if, after the execution hereof and prior to the Closing:  (a) the United States has become engaged in hostilities which have resulted in a declaration of war or a national emergency; (b) there shall have occurred the declaration of a general banking moratorium by any authority of the United States or the States of New York or California; (c) an event shall have occurred or been discovered as described in paragraph (m) of Section 5 or paragraph(s) of Section 6 hereof which in the opinion of the </w:t>
      </w:r>
      <w:r w:rsidR="004F12C5" w:rsidRPr="006410FC">
        <w:rPr>
          <w:szCs w:val="24"/>
        </w:rPr>
        <w:t>Underwriter</w:t>
      </w:r>
      <w:r w:rsidRPr="006410FC">
        <w:rPr>
          <w:szCs w:val="24"/>
        </w:rPr>
        <w:t xml:space="preserve"> requires the preparation and publication of disclosure material or a supplement or amendment to the Official Statement; (d) any legislation, ordinance, rule or regulation shall be introduced in, or be enacted by any governmental body, department or agency in the State of California, or a decision by any court of competent jurisdiction within the State of California shall be rendered which, in the </w:t>
      </w:r>
      <w:r w:rsidR="004F12C5" w:rsidRPr="006410FC">
        <w:rPr>
          <w:szCs w:val="24"/>
        </w:rPr>
        <w:t>Underwriter</w:t>
      </w:r>
      <w:r w:rsidRPr="006410FC">
        <w:rPr>
          <w:szCs w:val="24"/>
        </w:rPr>
        <w:t>’</w:t>
      </w:r>
      <w:r w:rsidR="00461E47" w:rsidRPr="006410FC">
        <w:rPr>
          <w:szCs w:val="24"/>
        </w:rPr>
        <w:t>s</w:t>
      </w:r>
      <w:r w:rsidRPr="006410FC">
        <w:rPr>
          <w:szCs w:val="24"/>
        </w:rPr>
        <w:t xml:space="preserve"> reasonable opinion, materially adversely affects the market price of the </w:t>
      </w:r>
      <w:r w:rsidR="00CE166D" w:rsidRPr="006410FC">
        <w:rPr>
          <w:szCs w:val="24"/>
        </w:rPr>
        <w:t>Bond</w:t>
      </w:r>
      <w:r w:rsidR="004F36C2" w:rsidRPr="006410FC">
        <w:rPr>
          <w:szCs w:val="24"/>
        </w:rPr>
        <w:t>s</w:t>
      </w:r>
      <w:r w:rsidRPr="006410FC">
        <w:rPr>
          <w:szCs w:val="24"/>
        </w:rPr>
        <w:t xml:space="preserve">; (e) legislation shall be introduced, by amendment or otherwise, or be enacted by the House of Representatives or the Senate of the Congress of the United States, or a decision by a court of the United States shall be rendered, or a stop order, ruling, regulation or official statement by or on behalf of the Securities and Exchange Commission or other governmental agency having jurisdiction of the subject matter shall be made or proposed, to the effect that the issuance, offering or sale of obligations of the general character of the </w:t>
      </w:r>
      <w:r w:rsidR="00CE166D" w:rsidRPr="006410FC">
        <w:rPr>
          <w:szCs w:val="24"/>
        </w:rPr>
        <w:t>Bond</w:t>
      </w:r>
      <w:r w:rsidR="004F36C2" w:rsidRPr="006410FC">
        <w:rPr>
          <w:szCs w:val="24"/>
        </w:rPr>
        <w:t>s</w:t>
      </w:r>
      <w:r w:rsidRPr="006410FC">
        <w:rPr>
          <w:szCs w:val="24"/>
        </w:rPr>
        <w:t xml:space="preserve">, or the </w:t>
      </w:r>
      <w:r w:rsidR="00CE166D" w:rsidRPr="006410FC">
        <w:rPr>
          <w:szCs w:val="24"/>
        </w:rPr>
        <w:t>Bond</w:t>
      </w:r>
      <w:r w:rsidR="004F36C2" w:rsidRPr="006410FC">
        <w:rPr>
          <w:szCs w:val="24"/>
        </w:rPr>
        <w:t>s</w:t>
      </w:r>
      <w:r w:rsidRPr="006410FC">
        <w:rPr>
          <w:szCs w:val="24"/>
        </w:rPr>
        <w:t xml:space="preserve">, as contemplated hereby or by the Official Statement, is or would be in violation of any provision of the Securities Act of 1933, as amended and as then in effect, or the Securities Exchange Act of 1934, as amended and as then in effect, or the Trust Indenture Act of 1939, as amended and as then in effect, or with the purpose or effect of otherwise prohibiting the issuance, offering or sale of obligations of the general character of the </w:t>
      </w:r>
      <w:r w:rsidR="00CE166D" w:rsidRPr="006410FC">
        <w:rPr>
          <w:szCs w:val="24"/>
        </w:rPr>
        <w:t>Bond</w:t>
      </w:r>
      <w:r w:rsidR="004F36C2" w:rsidRPr="006410FC">
        <w:rPr>
          <w:szCs w:val="24"/>
        </w:rPr>
        <w:t>s</w:t>
      </w:r>
      <w:r w:rsidRPr="006410FC">
        <w:rPr>
          <w:szCs w:val="24"/>
        </w:rPr>
        <w:t xml:space="preserve"> or the </w:t>
      </w:r>
      <w:r w:rsidR="00CE166D" w:rsidRPr="006410FC">
        <w:rPr>
          <w:szCs w:val="24"/>
        </w:rPr>
        <w:t>Bond</w:t>
      </w:r>
      <w:r w:rsidR="004F36C2" w:rsidRPr="006410FC">
        <w:rPr>
          <w:szCs w:val="24"/>
        </w:rPr>
        <w:t>s</w:t>
      </w:r>
      <w:r w:rsidRPr="006410FC">
        <w:rPr>
          <w:szCs w:val="24"/>
        </w:rPr>
        <w:t xml:space="preserve">, as contemplated hereby or by the Official Statement; (f) additional material restrictions not in force as of the date hereof shall have been imposed upon trading in securities generally by any governmental authority or by any national securities exchange; (g) the New York Stock Exchange, or other national securities exchange or association or any governmental authority, shall impose as to the </w:t>
      </w:r>
      <w:r w:rsidR="00CE166D" w:rsidRPr="006410FC">
        <w:rPr>
          <w:szCs w:val="24"/>
        </w:rPr>
        <w:t>Bond</w:t>
      </w:r>
      <w:r w:rsidR="004F36C2" w:rsidRPr="006410FC">
        <w:rPr>
          <w:szCs w:val="24"/>
        </w:rPr>
        <w:t>s</w:t>
      </w:r>
      <w:r w:rsidRPr="006410FC">
        <w:rPr>
          <w:szCs w:val="24"/>
        </w:rPr>
        <w:t xml:space="preserve">, or obligations of the general character of the </w:t>
      </w:r>
      <w:r w:rsidR="00CE166D" w:rsidRPr="006410FC">
        <w:rPr>
          <w:szCs w:val="24"/>
        </w:rPr>
        <w:t>Bond</w:t>
      </w:r>
      <w:r w:rsidR="004F36C2" w:rsidRPr="006410FC">
        <w:rPr>
          <w:szCs w:val="24"/>
        </w:rPr>
        <w:t>s</w:t>
      </w:r>
      <w:r w:rsidRPr="006410FC">
        <w:rPr>
          <w:szCs w:val="24"/>
        </w:rPr>
        <w:t xml:space="preserve">, any material restrictions not now in force, or increase materially those now in force, with respect to the extension of credit by or the charge to the net capital requirements of broker-dealers; (h) trading in securities on the New York Stock Exchange or the American Stock Exchange shall have been suspended or limited or minimum prices have been established on either such exchange; (i) any action shall have been taken by any government in respect of its monetary affairs which, in </w:t>
      </w:r>
      <w:r w:rsidRPr="00D443A5">
        <w:rPr>
          <w:szCs w:val="24"/>
        </w:rPr>
        <w:t xml:space="preserve">the reasonable opinion of the </w:t>
      </w:r>
      <w:r w:rsidR="004F12C5" w:rsidRPr="00D443A5">
        <w:rPr>
          <w:szCs w:val="24"/>
        </w:rPr>
        <w:t>Underwriter</w:t>
      </w:r>
      <w:r w:rsidRPr="00D443A5">
        <w:rPr>
          <w:szCs w:val="24"/>
        </w:rPr>
        <w:t xml:space="preserve">, has a material adverse effect on the United States securities market; or (j) Circular 230 of the Department of the Treasury is amended, with an effective date prior to the Closing Date, in a form which would make it impracticable, in the reasonable opinion of the </w:t>
      </w:r>
      <w:r w:rsidR="004F12C5" w:rsidRPr="00D443A5">
        <w:rPr>
          <w:szCs w:val="24"/>
        </w:rPr>
        <w:t>Underwriter</w:t>
      </w:r>
      <w:r w:rsidRPr="00D443A5">
        <w:rPr>
          <w:szCs w:val="24"/>
        </w:rPr>
        <w:t xml:space="preserve">, for the </w:t>
      </w:r>
      <w:r w:rsidR="004F12C5" w:rsidRPr="00D443A5">
        <w:rPr>
          <w:szCs w:val="24"/>
        </w:rPr>
        <w:t>Underwriter</w:t>
      </w:r>
      <w:r w:rsidRPr="00D443A5">
        <w:rPr>
          <w:szCs w:val="24"/>
        </w:rPr>
        <w:t xml:space="preserve"> to sell the </w:t>
      </w:r>
      <w:r w:rsidR="00CE166D" w:rsidRPr="00D443A5">
        <w:rPr>
          <w:szCs w:val="24"/>
        </w:rPr>
        <w:t>Bond</w:t>
      </w:r>
      <w:r w:rsidR="004F36C2" w:rsidRPr="00D443A5">
        <w:rPr>
          <w:szCs w:val="24"/>
        </w:rPr>
        <w:t>s</w:t>
      </w:r>
      <w:r w:rsidRPr="00D443A5">
        <w:rPr>
          <w:szCs w:val="24"/>
        </w:rPr>
        <w:t xml:space="preserve"> at the prices set forth herein.</w:t>
      </w:r>
    </w:p>
    <w:p w:rsidR="00306F34" w:rsidRPr="006410FC" w:rsidRDefault="00306F34">
      <w:pPr>
        <w:pStyle w:val="00BodyText5"/>
      </w:pPr>
      <w:r w:rsidRPr="006410FC">
        <w:t xml:space="preserve">If this Purchase Contract shall be terminated pursuant to Section 9 or this Section 10, or if the purchase provided for herein is not consummated because any condition to the </w:t>
      </w:r>
      <w:r w:rsidR="004F12C5" w:rsidRPr="006410FC">
        <w:t>Underwriter</w:t>
      </w:r>
      <w:r w:rsidRPr="006410FC">
        <w:t>’</w:t>
      </w:r>
      <w:r w:rsidR="00461E47" w:rsidRPr="006410FC">
        <w:t>s</w:t>
      </w:r>
      <w:r w:rsidRPr="006410FC">
        <w:t xml:space="preserve"> obligation hereunder is not satisfied or because of any refusal, inability or failure on the part of the Issuer or the Borrower to comply with any of the terms or to fulfill any of the conditions of this Purchase Contract, or if for any reason the Issuer or the Borrower shall be unable to perform all of their respective obligations under this Purchase Contract, then neither the Issuer nor the Borrower shall be liable to the </w:t>
      </w:r>
      <w:r w:rsidR="004F12C5" w:rsidRPr="006410FC">
        <w:t>Underwriter</w:t>
      </w:r>
      <w:r w:rsidRPr="006410FC">
        <w:t xml:space="preserve"> for damages on account of loss of anticipated profits arising out of the transactions covered by this Purchase Contract.</w:t>
      </w:r>
    </w:p>
    <w:p w:rsidR="00306F34" w:rsidRPr="006410FC" w:rsidRDefault="00306F34">
      <w:pPr>
        <w:pStyle w:val="Heading1"/>
        <w:rPr>
          <w:szCs w:val="24"/>
        </w:rPr>
      </w:pPr>
      <w:r w:rsidRPr="006410FC">
        <w:rPr>
          <w:szCs w:val="24"/>
          <w:u w:val="single"/>
        </w:rPr>
        <w:lastRenderedPageBreak/>
        <w:t>Payment of Costs and Expenses</w:t>
      </w:r>
      <w:r w:rsidRPr="006410FC">
        <w:rPr>
          <w:szCs w:val="24"/>
        </w:rPr>
        <w:t xml:space="preserve">.  </w:t>
      </w:r>
      <w:r w:rsidRPr="006410FC">
        <w:rPr>
          <w:szCs w:val="24"/>
        </w:rPr>
        <w:fldChar w:fldCharType="begin"/>
      </w:r>
      <w:r w:rsidRPr="006410FC">
        <w:rPr>
          <w:szCs w:val="24"/>
        </w:rPr>
        <w:instrText xml:space="preserve"> LISTNUM "Ballard Spahr Scheme 1" \l 2 </w:instrText>
      </w:r>
      <w:r w:rsidRPr="006410FC">
        <w:rPr>
          <w:szCs w:val="24"/>
        </w:rPr>
        <w:fldChar w:fldCharType="end"/>
      </w:r>
      <w:r w:rsidRPr="006410FC">
        <w:rPr>
          <w:szCs w:val="24"/>
        </w:rPr>
        <w:t xml:space="preserve"> From the proceeds of the </w:t>
      </w:r>
      <w:r w:rsidR="00CE166D" w:rsidRPr="006410FC">
        <w:rPr>
          <w:szCs w:val="24"/>
        </w:rPr>
        <w:t>Bond</w:t>
      </w:r>
      <w:r w:rsidR="004F36C2" w:rsidRPr="006410FC">
        <w:rPr>
          <w:szCs w:val="24"/>
        </w:rPr>
        <w:t>s</w:t>
      </w:r>
      <w:r w:rsidRPr="006410FC">
        <w:rPr>
          <w:szCs w:val="24"/>
        </w:rPr>
        <w:t xml:space="preserve"> </w:t>
      </w:r>
      <w:r w:rsidR="009E7B1F" w:rsidRPr="006410FC">
        <w:rPr>
          <w:szCs w:val="24"/>
        </w:rPr>
        <w:t xml:space="preserve">and funds available to the Borrower </w:t>
      </w:r>
      <w:r w:rsidRPr="006410FC">
        <w:rPr>
          <w:szCs w:val="24"/>
        </w:rPr>
        <w:t xml:space="preserve">there shall be paid all costs and expenses incident to the sale and delivery of the </w:t>
      </w:r>
      <w:r w:rsidR="00CE166D" w:rsidRPr="006410FC">
        <w:rPr>
          <w:szCs w:val="24"/>
        </w:rPr>
        <w:t>Bond</w:t>
      </w:r>
      <w:r w:rsidR="004F36C2" w:rsidRPr="006410FC">
        <w:rPr>
          <w:szCs w:val="24"/>
        </w:rPr>
        <w:t>s</w:t>
      </w:r>
      <w:r w:rsidRPr="006410FC">
        <w:rPr>
          <w:szCs w:val="24"/>
        </w:rPr>
        <w:t xml:space="preserve"> to the </w:t>
      </w:r>
      <w:r w:rsidR="004F12C5" w:rsidRPr="006410FC">
        <w:rPr>
          <w:szCs w:val="24"/>
        </w:rPr>
        <w:t>Underwriter</w:t>
      </w:r>
      <w:r w:rsidRPr="006410FC">
        <w:rPr>
          <w:szCs w:val="24"/>
        </w:rPr>
        <w:t>, including, but not limited to:  (i) the fees and expenses of the Issuer, the Issuer’s Counsel, the Oversight Agent</w:t>
      </w:r>
      <w:r w:rsidR="009E3F2F" w:rsidRPr="006410FC">
        <w:rPr>
          <w:szCs w:val="24"/>
        </w:rPr>
        <w:t>,</w:t>
      </w:r>
      <w:r w:rsidR="00D443A5">
        <w:rPr>
          <w:szCs w:val="24"/>
        </w:rPr>
        <w:t xml:space="preserve"> and</w:t>
      </w:r>
      <w:r w:rsidR="009E3F2F" w:rsidRPr="006410FC">
        <w:rPr>
          <w:szCs w:val="24"/>
        </w:rPr>
        <w:t xml:space="preserve"> the </w:t>
      </w:r>
      <w:r w:rsidR="004F12C5" w:rsidRPr="006410FC">
        <w:rPr>
          <w:szCs w:val="24"/>
        </w:rPr>
        <w:t>Underwriter</w:t>
      </w:r>
      <w:r w:rsidRPr="006410FC">
        <w:rPr>
          <w:szCs w:val="24"/>
        </w:rPr>
        <w:t xml:space="preserve">; (ii) the fees and expenses of the Borrower and its Counsel; (iii) the fees and expenses of Bond Counsel; (iv) all costs and expenses incurred in connection with the preparation and printing of the </w:t>
      </w:r>
      <w:r w:rsidR="00CE166D" w:rsidRPr="006410FC">
        <w:rPr>
          <w:szCs w:val="24"/>
        </w:rPr>
        <w:t>Bond</w:t>
      </w:r>
      <w:r w:rsidR="004F36C2" w:rsidRPr="006410FC">
        <w:rPr>
          <w:szCs w:val="24"/>
        </w:rPr>
        <w:t>s</w:t>
      </w:r>
      <w:r w:rsidRPr="006410FC">
        <w:rPr>
          <w:szCs w:val="24"/>
        </w:rPr>
        <w:t>; (v) all expenses in connection with the preparation, printing, distribution and delivery of the Preliminary Official Statement, the Official Statement and any amendment or supplement thereto; and (vi) the fees and expenses of the Trustee and its counsel.</w:t>
      </w:r>
    </w:p>
    <w:p w:rsidR="00306F34" w:rsidRPr="006410FC" w:rsidRDefault="00306F34">
      <w:pPr>
        <w:pStyle w:val="Heading2"/>
        <w:rPr>
          <w:szCs w:val="24"/>
        </w:rPr>
      </w:pPr>
      <w:r w:rsidRPr="006410FC">
        <w:rPr>
          <w:szCs w:val="24"/>
        </w:rPr>
        <w:t xml:space="preserve">The </w:t>
      </w:r>
      <w:r w:rsidR="004F12C5" w:rsidRPr="006410FC">
        <w:rPr>
          <w:szCs w:val="24"/>
        </w:rPr>
        <w:t>Underwriter</w:t>
      </w:r>
      <w:r w:rsidRPr="006410FC">
        <w:rPr>
          <w:szCs w:val="24"/>
        </w:rPr>
        <w:t xml:space="preserve"> shall pay all advertising expenses in connection with the public offering of the </w:t>
      </w:r>
      <w:r w:rsidR="00CE166D" w:rsidRPr="006410FC">
        <w:rPr>
          <w:szCs w:val="24"/>
        </w:rPr>
        <w:t>Bond</w:t>
      </w:r>
      <w:r w:rsidR="004F36C2" w:rsidRPr="006410FC">
        <w:rPr>
          <w:szCs w:val="24"/>
        </w:rPr>
        <w:t>s</w:t>
      </w:r>
      <w:r w:rsidRPr="006410FC">
        <w:rPr>
          <w:szCs w:val="24"/>
        </w:rPr>
        <w:t xml:space="preserve"> and all other expenses incurred by them in connection with their public offering and distribution of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1"/>
        <w:rPr>
          <w:szCs w:val="24"/>
        </w:rPr>
      </w:pPr>
      <w:r w:rsidRPr="006410FC">
        <w:rPr>
          <w:szCs w:val="24"/>
          <w:u w:val="single"/>
        </w:rPr>
        <w:t>Representations, Warranties and Agreements to Survive Delivery</w:t>
      </w:r>
      <w:r w:rsidRPr="006410FC">
        <w:rPr>
          <w:szCs w:val="24"/>
        </w:rPr>
        <w:t xml:space="preserve">.  The representations, warranties, agreements and other statements of the Issuer, the Borrower and the </w:t>
      </w:r>
      <w:r w:rsidR="004F12C5" w:rsidRPr="006410FC">
        <w:rPr>
          <w:szCs w:val="24"/>
        </w:rPr>
        <w:t>Underwriter</w:t>
      </w:r>
      <w:r w:rsidRPr="006410FC">
        <w:rPr>
          <w:szCs w:val="24"/>
        </w:rPr>
        <w:t xml:space="preserve"> or their officers set forth in, or made pursuant to, this Purchase Contract will remain operative and in full force and effect regardless of any investigation made by or on behalf of the Issuer, the Borrower or the </w:t>
      </w:r>
      <w:r w:rsidR="004F12C5" w:rsidRPr="006410FC">
        <w:rPr>
          <w:szCs w:val="24"/>
        </w:rPr>
        <w:t>Underwriter</w:t>
      </w:r>
      <w:r w:rsidRPr="006410FC">
        <w:rPr>
          <w:szCs w:val="24"/>
        </w:rPr>
        <w:t xml:space="preserve"> or any controlling person and will survive delivery of and payment for the </w:t>
      </w:r>
      <w:r w:rsidR="00CE166D" w:rsidRPr="006410FC">
        <w:rPr>
          <w:szCs w:val="24"/>
        </w:rPr>
        <w:t>Bond</w:t>
      </w:r>
      <w:r w:rsidR="004F36C2" w:rsidRPr="006410FC">
        <w:rPr>
          <w:szCs w:val="24"/>
        </w:rPr>
        <w:t>s</w:t>
      </w:r>
      <w:r w:rsidRPr="006410FC">
        <w:rPr>
          <w:szCs w:val="24"/>
        </w:rPr>
        <w:t>.</w:t>
      </w:r>
    </w:p>
    <w:p w:rsidR="00306F34" w:rsidRPr="006410FC" w:rsidRDefault="00306F34">
      <w:pPr>
        <w:pStyle w:val="Heading1"/>
        <w:rPr>
          <w:szCs w:val="24"/>
        </w:rPr>
      </w:pPr>
      <w:r w:rsidRPr="006410FC">
        <w:rPr>
          <w:szCs w:val="24"/>
          <w:u w:val="single"/>
        </w:rPr>
        <w:t>Notices</w:t>
      </w:r>
      <w:r w:rsidRPr="006410FC">
        <w:rPr>
          <w:szCs w:val="24"/>
        </w:rPr>
        <w:t>.  Any notice or other communication to be given under this Purchase Contract may be given by delivering the same in writing:</w:t>
      </w:r>
    </w:p>
    <w:p w:rsidR="00DA1B0B" w:rsidRPr="006410FC" w:rsidRDefault="00306F34" w:rsidP="00CE490E">
      <w:pPr>
        <w:pStyle w:val="00HangingIndent"/>
        <w:keepLines/>
      </w:pPr>
      <w:r w:rsidRPr="006410FC">
        <w:t>To the Issuer:</w:t>
      </w:r>
      <w:r w:rsidRPr="006410FC">
        <w:tab/>
      </w:r>
      <w:r w:rsidR="00DA1B0B" w:rsidRPr="006410FC">
        <w:t>Independent Cities Finance Authority</w:t>
      </w:r>
      <w:r w:rsidR="00DA1B0B" w:rsidRPr="006410FC">
        <w:br/>
        <w:t xml:space="preserve">Post Office Box 6740 </w:t>
      </w:r>
      <w:r w:rsidR="00DA1B0B" w:rsidRPr="006410FC">
        <w:br/>
        <w:t xml:space="preserve">Lancaster, </w:t>
      </w:r>
      <w:r w:rsidR="00566DC5">
        <w:t xml:space="preserve">CA </w:t>
      </w:r>
      <w:r w:rsidR="00DA1B0B" w:rsidRPr="006410FC">
        <w:t>93539-6740</w:t>
      </w:r>
      <w:r w:rsidR="00DA1B0B" w:rsidRPr="006410FC">
        <w:br/>
        <w:t xml:space="preserve">Attention:  </w:t>
      </w:r>
      <w:r w:rsidR="00EC7EEC" w:rsidRPr="006410FC">
        <w:t>Executive Director</w:t>
      </w:r>
      <w:r w:rsidR="00DA1B0B" w:rsidRPr="006410FC">
        <w:t xml:space="preserve"> </w:t>
      </w:r>
    </w:p>
    <w:p w:rsidR="00306F34" w:rsidRPr="006410FC" w:rsidRDefault="00306F34" w:rsidP="00D00E38">
      <w:pPr>
        <w:pStyle w:val="00HangingIndent"/>
        <w:keepLines/>
      </w:pPr>
      <w:r w:rsidRPr="006410FC">
        <w:t>To the Borrower:</w:t>
      </w:r>
      <w:r w:rsidRPr="006410FC">
        <w:tab/>
      </w:r>
      <w:r w:rsidR="00BC10A9">
        <w:t>Augusta Communities LLC</w:t>
      </w:r>
      <w:r w:rsidR="005C7F25" w:rsidRPr="006410FC">
        <w:br/>
      </w:r>
      <w:r w:rsidR="004B264C">
        <w:t>400 Mountain Avenue, Suite 205</w:t>
      </w:r>
      <w:r w:rsidR="004B264C">
        <w:br/>
        <w:t>Upland, CA 91789</w:t>
      </w:r>
      <w:r w:rsidR="004B264C">
        <w:br/>
        <w:t>Attention: Suzanne Taylor</w:t>
      </w:r>
    </w:p>
    <w:p w:rsidR="00306F34" w:rsidRPr="006410FC" w:rsidRDefault="00306F34" w:rsidP="00B93CA1">
      <w:pPr>
        <w:pStyle w:val="00HangingIndent"/>
        <w:keepLines/>
      </w:pPr>
      <w:r w:rsidRPr="006410FC">
        <w:t xml:space="preserve">To the </w:t>
      </w:r>
      <w:r w:rsidR="004F12C5" w:rsidRPr="006410FC">
        <w:t>Underwriter</w:t>
      </w:r>
      <w:r w:rsidRPr="006410FC">
        <w:t>:</w:t>
      </w:r>
      <w:r w:rsidRPr="006410FC">
        <w:tab/>
      </w:r>
      <w:r w:rsidR="00487CB6" w:rsidRPr="006410FC">
        <w:t>Newcomb Williams Financial Group</w:t>
      </w:r>
      <w:r w:rsidRPr="006410FC">
        <w:br/>
      </w:r>
      <w:r w:rsidR="00953322" w:rsidRPr="00F87D4F">
        <w:t>1254 Hoover St.</w:t>
      </w:r>
      <w:r w:rsidR="00953322">
        <w:br/>
      </w:r>
      <w:r w:rsidR="00953322" w:rsidRPr="00F87D4F">
        <w:t>Carlsbad, CA 92008</w:t>
      </w:r>
      <w:r w:rsidR="00953322" w:rsidRPr="006410FC">
        <w:br/>
        <w:t>Attention:  Pamela Newcomb</w:t>
      </w:r>
    </w:p>
    <w:p w:rsidR="005D5E28" w:rsidRPr="006410FC" w:rsidRDefault="005D5E28" w:rsidP="005D5E28">
      <w:pPr>
        <w:pStyle w:val="00HangingIndent"/>
        <w:keepLines/>
        <w:ind w:firstLine="0"/>
      </w:pPr>
      <w:r w:rsidRPr="006410FC">
        <w:t>and</w:t>
      </w:r>
    </w:p>
    <w:p w:rsidR="005D5E28" w:rsidRPr="006410FC" w:rsidRDefault="005D5E28" w:rsidP="005D5E28">
      <w:pPr>
        <w:pStyle w:val="00HangingIndent"/>
        <w:keepLines/>
        <w:ind w:firstLine="0"/>
      </w:pPr>
      <w:r w:rsidRPr="006410FC">
        <w:t>Stinson Securities, LLC</w:t>
      </w:r>
      <w:r w:rsidRPr="006410FC">
        <w:br/>
        <w:t>220 Sansome Street, Suite 1330</w:t>
      </w:r>
      <w:r w:rsidRPr="006410FC">
        <w:br/>
        <w:t xml:space="preserve">San Francisco, </w:t>
      </w:r>
      <w:r w:rsidR="00566DC5">
        <w:t xml:space="preserve">CA </w:t>
      </w:r>
      <w:r w:rsidRPr="006410FC">
        <w:t>94104</w:t>
      </w:r>
      <w:r w:rsidRPr="006410FC">
        <w:br/>
        <w:t>Attention:  Lonnie Odom</w:t>
      </w:r>
    </w:p>
    <w:p w:rsidR="00306F34" w:rsidRPr="006410FC" w:rsidRDefault="00306F34">
      <w:pPr>
        <w:pStyle w:val="Heading1"/>
        <w:rPr>
          <w:szCs w:val="24"/>
        </w:rPr>
      </w:pPr>
      <w:r w:rsidRPr="006410FC">
        <w:rPr>
          <w:szCs w:val="24"/>
          <w:u w:val="single"/>
        </w:rPr>
        <w:t>Parties in Interest</w:t>
      </w:r>
      <w:r w:rsidRPr="006410FC">
        <w:rPr>
          <w:szCs w:val="24"/>
        </w:rPr>
        <w:t xml:space="preserve">.  This Purchase Contract is made solely for the benefit of the Issuer, the Borrower and the </w:t>
      </w:r>
      <w:r w:rsidR="004F12C5" w:rsidRPr="006410FC">
        <w:rPr>
          <w:szCs w:val="24"/>
        </w:rPr>
        <w:t>Underwriter</w:t>
      </w:r>
      <w:r w:rsidRPr="006410FC">
        <w:rPr>
          <w:szCs w:val="24"/>
        </w:rPr>
        <w:t xml:space="preserve"> (including the successors or assigns of the </w:t>
      </w:r>
      <w:r w:rsidR="004F12C5" w:rsidRPr="006410FC">
        <w:rPr>
          <w:szCs w:val="24"/>
        </w:rPr>
        <w:t>Underwriter</w:t>
      </w:r>
      <w:r w:rsidRPr="006410FC">
        <w:rPr>
          <w:szCs w:val="24"/>
        </w:rPr>
        <w:t xml:space="preserve">) </w:t>
      </w:r>
      <w:r w:rsidRPr="006410FC">
        <w:rPr>
          <w:szCs w:val="24"/>
        </w:rPr>
        <w:lastRenderedPageBreak/>
        <w:t xml:space="preserve">and no other person shall acquire or have any right hereunder or by virtue hereof.  All of the Issuer’s and the Borrower’s representations, warranties and agreements contained in this Purchase Contract shall remain operative and in full force and effect, regardless of:  (i) any investigations made by or on behalf of the </w:t>
      </w:r>
      <w:r w:rsidR="004F12C5" w:rsidRPr="006410FC">
        <w:rPr>
          <w:szCs w:val="24"/>
        </w:rPr>
        <w:t>Underwriter</w:t>
      </w:r>
      <w:r w:rsidRPr="006410FC">
        <w:rPr>
          <w:szCs w:val="24"/>
        </w:rPr>
        <w:t xml:space="preserve">; (ii) delivery of and payment for the </w:t>
      </w:r>
      <w:r w:rsidR="00CE166D" w:rsidRPr="006410FC">
        <w:rPr>
          <w:szCs w:val="24"/>
        </w:rPr>
        <w:t>Bond</w:t>
      </w:r>
      <w:r w:rsidR="004F36C2" w:rsidRPr="006410FC">
        <w:rPr>
          <w:szCs w:val="24"/>
        </w:rPr>
        <w:t>s</w:t>
      </w:r>
      <w:r w:rsidRPr="006410FC">
        <w:rPr>
          <w:szCs w:val="24"/>
        </w:rPr>
        <w:t xml:space="preserve"> pursuant to this Purchase Contract; and (iii) any termination of this Purchase Contract.</w:t>
      </w:r>
    </w:p>
    <w:p w:rsidR="00306F34" w:rsidRPr="006410FC" w:rsidRDefault="00306F34">
      <w:pPr>
        <w:pStyle w:val="Heading1"/>
        <w:rPr>
          <w:szCs w:val="24"/>
        </w:rPr>
      </w:pPr>
      <w:r w:rsidRPr="006410FC">
        <w:rPr>
          <w:szCs w:val="24"/>
          <w:u w:val="single"/>
        </w:rPr>
        <w:t>Effectiveness</w:t>
      </w:r>
      <w:r w:rsidRPr="006410FC">
        <w:rPr>
          <w:szCs w:val="24"/>
        </w:rPr>
        <w:t>.  This Purchase Contract shall become effective upon the execution of the acceptance hereof by the Issuer and the Borrower and shall be valid and enforceable from and after the time of such acceptance.</w:t>
      </w:r>
    </w:p>
    <w:p w:rsidR="00306F34" w:rsidRPr="006410FC" w:rsidRDefault="00306F34">
      <w:pPr>
        <w:pStyle w:val="Heading1"/>
        <w:rPr>
          <w:szCs w:val="24"/>
        </w:rPr>
      </w:pPr>
      <w:r w:rsidRPr="006410FC">
        <w:rPr>
          <w:szCs w:val="24"/>
          <w:u w:val="single"/>
        </w:rPr>
        <w:t>Headings</w:t>
      </w:r>
      <w:r w:rsidRPr="006410FC">
        <w:rPr>
          <w:szCs w:val="24"/>
        </w:rPr>
        <w:t>.  The headings of the sections of this Purchase Contract are inserted for convenience only and shall not be deemed to be a part hereof.</w:t>
      </w:r>
    </w:p>
    <w:p w:rsidR="00306F34" w:rsidRPr="006410FC" w:rsidRDefault="00306F34">
      <w:pPr>
        <w:pStyle w:val="Heading1"/>
        <w:rPr>
          <w:szCs w:val="24"/>
        </w:rPr>
      </w:pPr>
      <w:r w:rsidRPr="006410FC">
        <w:rPr>
          <w:szCs w:val="24"/>
          <w:u w:val="single"/>
        </w:rPr>
        <w:t>Governing Law</w:t>
      </w:r>
      <w:r w:rsidRPr="006410FC">
        <w:rPr>
          <w:szCs w:val="24"/>
        </w:rPr>
        <w:t>.  This Purchase Contract shall be construed in accordance with the laws of the State of California, applicable to contracts made and performed in such State.</w:t>
      </w:r>
    </w:p>
    <w:p w:rsidR="00306F34" w:rsidRDefault="00306F34">
      <w:pPr>
        <w:pStyle w:val="Heading1"/>
        <w:rPr>
          <w:szCs w:val="24"/>
        </w:rPr>
      </w:pPr>
      <w:r w:rsidRPr="006410FC">
        <w:rPr>
          <w:szCs w:val="24"/>
          <w:u w:val="single"/>
        </w:rPr>
        <w:t>Counterparts</w:t>
      </w:r>
      <w:r w:rsidRPr="006410FC">
        <w:rPr>
          <w:szCs w:val="24"/>
        </w:rPr>
        <w:t>.  This Purchase Contract may be executed in any number of counterparts, all of which shall constitute one and the same instrument, and each of which shall be deemed to be an original.</w:t>
      </w:r>
      <w:r w:rsidR="00D443A5" w:rsidRPr="00D443A5">
        <w:t xml:space="preserve"> </w:t>
      </w:r>
      <w:r w:rsidR="00D443A5" w:rsidRPr="00BA0DBA">
        <w:t xml:space="preserve">To the fullest extent permitted by applicable law, electronically submitted or facsimile signatures shall constitute original signatures for all purposes under this </w:t>
      </w:r>
      <w:r w:rsidR="00D443A5">
        <w:t>Purchase Contract</w:t>
      </w:r>
      <w:r w:rsidR="00D443A5" w:rsidRPr="00BA0DBA">
        <w:t>.</w:t>
      </w:r>
    </w:p>
    <w:p w:rsidR="003B1E96" w:rsidRDefault="003B1E96" w:rsidP="003B1E96"/>
    <w:p w:rsidR="003B1E96" w:rsidRDefault="003B1E96" w:rsidP="003B1E96"/>
    <w:p w:rsidR="003B1E96" w:rsidRDefault="003B1E96" w:rsidP="003B1E96"/>
    <w:p w:rsidR="003B1E96" w:rsidRPr="003B1E96" w:rsidRDefault="003B1E96" w:rsidP="003B1E96"/>
    <w:p w:rsidR="00074E08" w:rsidRPr="006410FC" w:rsidRDefault="00074E08" w:rsidP="00074E08">
      <w:pPr>
        <w:pStyle w:val="00BodyText1"/>
        <w:sectPr w:rsidR="00074E08" w:rsidRPr="006410FC" w:rsidSect="003B1E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306F34" w:rsidRPr="006410FC" w:rsidRDefault="00306F34">
      <w:pPr>
        <w:pStyle w:val="00BodyText5"/>
      </w:pPr>
      <w:r w:rsidRPr="006410FC">
        <w:lastRenderedPageBreak/>
        <w:t xml:space="preserve">If the foregoing is in accordance with your understanding of the Purchase Contract please sign and return to us the enclosed duplicate copies hereof, whereupon it will become a binding agreement among the Issuer, the Borrower and the </w:t>
      </w:r>
      <w:r w:rsidR="004F12C5" w:rsidRPr="006410FC">
        <w:t>Underwriter</w:t>
      </w:r>
      <w:r w:rsidRPr="006410FC">
        <w:t xml:space="preserve"> in accordance with its terms.</w:t>
      </w:r>
    </w:p>
    <w:p w:rsidR="00306F34" w:rsidRPr="006410FC" w:rsidRDefault="00306F34" w:rsidP="00487CB6">
      <w:pPr>
        <w:pStyle w:val="Signature"/>
        <w:ind w:left="4320"/>
      </w:pPr>
      <w:r w:rsidRPr="006410FC">
        <w:t>Very truly yours,</w:t>
      </w:r>
    </w:p>
    <w:p w:rsidR="00306F34" w:rsidRPr="006410FC" w:rsidRDefault="00306F34" w:rsidP="00487CB6">
      <w:pPr>
        <w:pStyle w:val="Signature"/>
        <w:ind w:left="4320"/>
      </w:pPr>
    </w:p>
    <w:p w:rsidR="008670AC" w:rsidRPr="006410FC" w:rsidRDefault="008670AC" w:rsidP="008670AC">
      <w:pPr>
        <w:pStyle w:val="Signature"/>
        <w:ind w:left="4320"/>
      </w:pPr>
      <w:r w:rsidRPr="006410FC">
        <w:t>NEWCOMB WILLIAMS FINANCIAL GROUP, Securities offered through Stinson Securities, LLC</w:t>
      </w:r>
    </w:p>
    <w:p w:rsidR="008670AC" w:rsidRPr="006410FC" w:rsidRDefault="008670AC" w:rsidP="00487CB6">
      <w:pPr>
        <w:pStyle w:val="Signature"/>
        <w:ind w:left="4320"/>
      </w:pPr>
    </w:p>
    <w:p w:rsidR="00D3075D" w:rsidRPr="006410FC" w:rsidRDefault="00D3075D" w:rsidP="00487CB6">
      <w:pPr>
        <w:pStyle w:val="Signature"/>
        <w:ind w:left="4320"/>
      </w:pPr>
      <w:r w:rsidRPr="006410FC">
        <w:t>By:  NEWCOMB WILLIAMS FINANCIAL GROUP</w:t>
      </w:r>
    </w:p>
    <w:p w:rsidR="00306F34" w:rsidRPr="006410FC" w:rsidRDefault="00306F34" w:rsidP="00487CB6">
      <w:pPr>
        <w:pStyle w:val="Signature"/>
        <w:ind w:left="4320"/>
      </w:pPr>
    </w:p>
    <w:p w:rsidR="00306F34" w:rsidRPr="006410FC" w:rsidRDefault="00306F34" w:rsidP="00487CB6">
      <w:pPr>
        <w:pStyle w:val="Signature"/>
        <w:ind w:left="4320"/>
      </w:pPr>
    </w:p>
    <w:p w:rsidR="00306F34" w:rsidRPr="006410FC" w:rsidRDefault="00306F34" w:rsidP="00487CB6">
      <w:pPr>
        <w:pStyle w:val="Signature"/>
        <w:ind w:left="4320"/>
        <w:rPr>
          <w:u w:val="single"/>
        </w:rPr>
      </w:pPr>
      <w:r w:rsidRPr="006410FC">
        <w:rPr>
          <w:u w:val="single"/>
        </w:rPr>
        <w:tab/>
      </w:r>
    </w:p>
    <w:p w:rsidR="00306F34" w:rsidRPr="006410FC" w:rsidRDefault="002A5717" w:rsidP="00487CB6">
      <w:pPr>
        <w:pStyle w:val="Signature"/>
        <w:ind w:left="4320"/>
        <w:jc w:val="center"/>
      </w:pPr>
      <w:r w:rsidRPr="006410FC">
        <w:t xml:space="preserve">Pamela Newcomb, </w:t>
      </w:r>
      <w:r w:rsidR="00306F34" w:rsidRPr="006410FC">
        <w:t>President</w:t>
      </w:r>
    </w:p>
    <w:p w:rsidR="002A5717" w:rsidRPr="006410FC" w:rsidRDefault="002A5717" w:rsidP="00487CB6">
      <w:pPr>
        <w:pStyle w:val="Signature"/>
        <w:ind w:left="4320"/>
        <w:jc w:val="center"/>
      </w:pPr>
    </w:p>
    <w:p w:rsidR="00D443A5" w:rsidRDefault="00D443A5" w:rsidP="002A5717">
      <w:pPr>
        <w:pStyle w:val="Signature"/>
        <w:ind w:left="4320"/>
        <w:sectPr w:rsidR="00D443A5" w:rsidSect="00D443A5">
          <w:headerReference w:type="first" r:id="rId14"/>
          <w:footerReference w:type="first" r:id="rId15"/>
          <w:pgSz w:w="12240" w:h="15840" w:code="1"/>
          <w:pgMar w:top="1440" w:right="1440" w:bottom="1440" w:left="1440" w:header="720" w:footer="720" w:gutter="0"/>
          <w:pgNumType w:start="1"/>
          <w:cols w:space="720"/>
          <w:titlePg/>
          <w:docGrid w:linePitch="360"/>
        </w:sectPr>
      </w:pPr>
    </w:p>
    <w:p w:rsidR="002A5717" w:rsidRPr="006410FC" w:rsidRDefault="002A5717" w:rsidP="002A5717">
      <w:pPr>
        <w:pStyle w:val="Signature"/>
        <w:ind w:left="4320"/>
      </w:pPr>
      <w:r w:rsidRPr="006410FC">
        <w:lastRenderedPageBreak/>
        <w:t>By:  STINSON SECURITIES, LLC</w:t>
      </w:r>
    </w:p>
    <w:p w:rsidR="002A5717" w:rsidRPr="006410FC" w:rsidRDefault="002A5717" w:rsidP="002A5717">
      <w:pPr>
        <w:pStyle w:val="Signature"/>
        <w:ind w:left="4320"/>
      </w:pPr>
    </w:p>
    <w:p w:rsidR="002A5717" w:rsidRPr="006410FC" w:rsidRDefault="002A5717" w:rsidP="002A5717">
      <w:pPr>
        <w:pStyle w:val="Signature"/>
        <w:ind w:left="4320"/>
      </w:pPr>
    </w:p>
    <w:p w:rsidR="002A5717" w:rsidRPr="006410FC" w:rsidRDefault="002A5717" w:rsidP="002A5717">
      <w:pPr>
        <w:pStyle w:val="Signature"/>
        <w:ind w:left="4320"/>
        <w:rPr>
          <w:u w:val="single"/>
        </w:rPr>
      </w:pPr>
      <w:r w:rsidRPr="006410FC">
        <w:rPr>
          <w:u w:val="single"/>
        </w:rPr>
        <w:tab/>
      </w:r>
    </w:p>
    <w:p w:rsidR="002A5717" w:rsidRPr="006410FC" w:rsidRDefault="002A5717" w:rsidP="00487CB6">
      <w:pPr>
        <w:pStyle w:val="Signature"/>
        <w:ind w:left="4320"/>
        <w:jc w:val="center"/>
      </w:pPr>
      <w:r w:rsidRPr="006410FC">
        <w:t>Lonnie Odom, President &amp; CEO</w:t>
      </w:r>
    </w:p>
    <w:p w:rsidR="00D443A5" w:rsidRDefault="00D443A5">
      <w:pPr>
        <w:pStyle w:val="00Normal"/>
        <w:sectPr w:rsidR="00D443A5">
          <w:pgSz w:w="12240" w:h="15840" w:code="1"/>
          <w:pgMar w:top="1440" w:right="1440" w:bottom="1440" w:left="1440" w:header="720" w:footer="720" w:gutter="0"/>
          <w:cols w:space="720"/>
          <w:titlePg/>
          <w:docGrid w:linePitch="360"/>
        </w:sectPr>
      </w:pPr>
    </w:p>
    <w:p w:rsidR="00306F34" w:rsidRPr="006410FC" w:rsidRDefault="00306F34">
      <w:pPr>
        <w:pStyle w:val="00Normal"/>
      </w:pPr>
      <w:r w:rsidRPr="006410FC">
        <w:lastRenderedPageBreak/>
        <w:t>Accepted:</w:t>
      </w:r>
    </w:p>
    <w:p w:rsidR="00306F34" w:rsidRPr="006410FC" w:rsidRDefault="00306F34">
      <w:pPr>
        <w:pStyle w:val="00Normal"/>
      </w:pPr>
      <w:r w:rsidRPr="006410FC">
        <w:t xml:space="preserve">This </w:t>
      </w:r>
      <w:r w:rsidR="005D67FA">
        <w:t>____</w:t>
      </w:r>
      <w:r w:rsidR="003533D2" w:rsidRPr="006410FC">
        <w:t xml:space="preserve"> </w:t>
      </w:r>
      <w:r w:rsidRPr="006410FC">
        <w:t>day of</w:t>
      </w:r>
      <w:r w:rsidR="005C7F25" w:rsidRPr="006410FC">
        <w:t xml:space="preserve"> </w:t>
      </w:r>
      <w:r w:rsidR="005D67FA">
        <w:t>_________</w:t>
      </w:r>
      <w:r w:rsidRPr="006410FC">
        <w:t xml:space="preserve">, </w:t>
      </w:r>
      <w:r w:rsidR="006E6F12" w:rsidRPr="006410FC">
        <w:t>20</w:t>
      </w:r>
      <w:r w:rsidR="00566DC5">
        <w:t>22</w:t>
      </w:r>
    </w:p>
    <w:p w:rsidR="00306F34" w:rsidRPr="006410FC" w:rsidRDefault="00306F34">
      <w:pPr>
        <w:pStyle w:val="00Normal"/>
      </w:pPr>
      <w:r w:rsidRPr="006410FC">
        <w:t>INDEPENDENT CITIES FINANCE AUTHORITY</w:t>
      </w:r>
    </w:p>
    <w:p w:rsidR="00306F34" w:rsidRPr="006410FC" w:rsidRDefault="00306F34">
      <w:pPr>
        <w:pStyle w:val="00Normal"/>
      </w:pPr>
    </w:p>
    <w:p w:rsidR="00FB36D7" w:rsidRPr="006410FC" w:rsidRDefault="00306F34" w:rsidP="00FB36D7">
      <w:pPr>
        <w:pStyle w:val="00Normal"/>
        <w:tabs>
          <w:tab w:val="center" w:pos="2160"/>
          <w:tab w:val="right" w:pos="4320"/>
        </w:tabs>
      </w:pPr>
      <w:r w:rsidRPr="006410FC">
        <w:t>By:</w:t>
      </w:r>
      <w:r w:rsidRPr="006410FC">
        <w:rPr>
          <w:u w:val="single"/>
        </w:rPr>
        <w:tab/>
      </w:r>
      <w:r w:rsidRPr="006410FC">
        <w:rPr>
          <w:u w:val="single"/>
        </w:rPr>
        <w:tab/>
      </w:r>
      <w:r w:rsidRPr="006410FC">
        <w:rPr>
          <w:u w:val="single"/>
        </w:rPr>
        <w:br/>
      </w:r>
      <w:r w:rsidRPr="006410FC">
        <w:tab/>
      </w:r>
      <w:r w:rsidR="001B698A" w:rsidRPr="006410FC">
        <w:t xml:space="preserve">Deborah Smith, </w:t>
      </w:r>
      <w:r w:rsidR="00EC7EEC" w:rsidRPr="006410FC">
        <w:t>Executive Director</w:t>
      </w:r>
    </w:p>
    <w:p w:rsidR="00F3002E" w:rsidRPr="006410FC" w:rsidRDefault="00F3002E" w:rsidP="00F726F3">
      <w:pPr>
        <w:pStyle w:val="00Normal"/>
        <w:tabs>
          <w:tab w:val="center" w:pos="2160"/>
          <w:tab w:val="right" w:pos="4320"/>
        </w:tabs>
        <w:spacing w:after="0"/>
      </w:pPr>
    </w:p>
    <w:p w:rsidR="00D443A5" w:rsidRDefault="00D443A5" w:rsidP="00F726F3">
      <w:pPr>
        <w:pStyle w:val="00Normal"/>
        <w:tabs>
          <w:tab w:val="center" w:pos="2160"/>
          <w:tab w:val="right" w:pos="4320"/>
        </w:tabs>
        <w:spacing w:after="0"/>
        <w:sectPr w:rsidR="00D443A5">
          <w:pgSz w:w="12240" w:h="15840" w:code="1"/>
          <w:pgMar w:top="1440" w:right="1440" w:bottom="1440" w:left="1440" w:header="720" w:footer="720" w:gutter="0"/>
          <w:cols w:space="720"/>
          <w:titlePg/>
          <w:docGrid w:linePitch="360"/>
        </w:sectPr>
      </w:pPr>
    </w:p>
    <w:p w:rsidR="008C3DD3" w:rsidRPr="006410FC" w:rsidRDefault="008C3DD3" w:rsidP="008C3DD3">
      <w:pPr>
        <w:pStyle w:val="00Normal"/>
      </w:pPr>
      <w:r w:rsidRPr="006410FC">
        <w:lastRenderedPageBreak/>
        <w:t>Accepted:</w:t>
      </w:r>
    </w:p>
    <w:p w:rsidR="008C3DD3" w:rsidRPr="006410FC" w:rsidRDefault="008C3DD3" w:rsidP="008C3DD3">
      <w:pPr>
        <w:pStyle w:val="00Normal"/>
      </w:pPr>
      <w:r w:rsidRPr="006410FC">
        <w:t xml:space="preserve">This </w:t>
      </w:r>
      <w:r>
        <w:t>____</w:t>
      </w:r>
      <w:r w:rsidRPr="006410FC">
        <w:t xml:space="preserve"> day of </w:t>
      </w:r>
      <w:r>
        <w:t>_________</w:t>
      </w:r>
      <w:r w:rsidRPr="006410FC">
        <w:t>, 20</w:t>
      </w:r>
      <w:r>
        <w:t>22</w:t>
      </w:r>
    </w:p>
    <w:p w:rsidR="005C7F25" w:rsidRDefault="00BC10A9" w:rsidP="00F726F3">
      <w:pPr>
        <w:pStyle w:val="00Normal"/>
        <w:tabs>
          <w:tab w:val="center" w:pos="2160"/>
          <w:tab w:val="right" w:pos="4320"/>
        </w:tabs>
        <w:spacing w:after="0"/>
      </w:pPr>
      <w:r>
        <w:t>AUGUSTA COMMUNITIES LLC</w:t>
      </w:r>
      <w:r w:rsidR="005C7F25" w:rsidRPr="006410FC">
        <w:t>,</w:t>
      </w:r>
    </w:p>
    <w:p w:rsidR="009150FB" w:rsidRDefault="009150FB" w:rsidP="00F726F3">
      <w:pPr>
        <w:pStyle w:val="00Normal"/>
        <w:tabs>
          <w:tab w:val="center" w:pos="2160"/>
          <w:tab w:val="right" w:pos="4320"/>
        </w:tabs>
        <w:spacing w:after="0"/>
      </w:pPr>
      <w:r>
        <w:t>a California limited liability company</w:t>
      </w:r>
    </w:p>
    <w:p w:rsidR="009150FB" w:rsidRDefault="009150FB" w:rsidP="00F726F3">
      <w:pPr>
        <w:pStyle w:val="00Normal"/>
        <w:tabs>
          <w:tab w:val="center" w:pos="2160"/>
          <w:tab w:val="right" w:pos="4320"/>
        </w:tabs>
        <w:spacing w:after="0"/>
      </w:pPr>
    </w:p>
    <w:p w:rsidR="005D67FA" w:rsidRDefault="005D67FA" w:rsidP="005D67FA">
      <w:pPr>
        <w:ind w:left="90" w:right="5040"/>
      </w:pPr>
      <w:r w:rsidRPr="00F00BE1">
        <w:t xml:space="preserve">By: </w:t>
      </w:r>
      <w:r>
        <w:t>AUGUSTA HOMES</w:t>
      </w:r>
      <w:r w:rsidRPr="00BB3554">
        <w:t>,</w:t>
      </w:r>
      <w:r w:rsidRPr="00F00BE1">
        <w:t xml:space="preserve"> a California nonprofit public benefit corporation, its sole member</w:t>
      </w:r>
    </w:p>
    <w:p w:rsidR="005D67FA" w:rsidRDefault="005D67FA" w:rsidP="005D67FA">
      <w:pPr>
        <w:ind w:left="90" w:right="5040"/>
      </w:pPr>
    </w:p>
    <w:p w:rsidR="005D67FA" w:rsidRDefault="005D67FA" w:rsidP="005D67FA">
      <w:pPr>
        <w:ind w:left="90" w:right="5040"/>
      </w:pPr>
    </w:p>
    <w:p w:rsidR="005D67FA" w:rsidRDefault="005D67FA" w:rsidP="005D67FA">
      <w:pPr>
        <w:ind w:left="90" w:right="5040"/>
        <w:rPr>
          <w:u w:val="single"/>
        </w:rPr>
      </w:pPr>
      <w:r>
        <w:t>By:</w:t>
      </w:r>
      <w:r>
        <w:rPr>
          <w:u w:val="single"/>
        </w:rPr>
        <w:tab/>
      </w:r>
      <w:r>
        <w:rPr>
          <w:u w:val="single"/>
        </w:rPr>
        <w:tab/>
      </w:r>
      <w:r>
        <w:rPr>
          <w:u w:val="single"/>
        </w:rPr>
        <w:tab/>
      </w:r>
      <w:r>
        <w:rPr>
          <w:u w:val="single"/>
        </w:rPr>
        <w:tab/>
      </w:r>
      <w:r>
        <w:rPr>
          <w:u w:val="single"/>
        </w:rPr>
        <w:tab/>
      </w:r>
      <w:r>
        <w:rPr>
          <w:u w:val="single"/>
        </w:rPr>
        <w:tab/>
      </w:r>
    </w:p>
    <w:p w:rsidR="005D67FA" w:rsidRDefault="005D67FA" w:rsidP="005D67FA">
      <w:pPr>
        <w:pStyle w:val="Signature"/>
        <w:spacing w:after="600"/>
        <w:ind w:left="90" w:right="5040"/>
        <w:jc w:val="center"/>
        <w:rPr>
          <w:color w:val="000000"/>
        </w:rPr>
      </w:pPr>
      <w:r w:rsidRPr="00FF1230">
        <w:t>Suzanne Taylor, Executive Director</w:t>
      </w:r>
    </w:p>
    <w:p w:rsidR="005C7F25" w:rsidRPr="006410FC" w:rsidRDefault="005C7F25" w:rsidP="00E911EF"/>
    <w:p w:rsidR="00306F34" w:rsidRPr="006410FC" w:rsidRDefault="00306F34" w:rsidP="00E911EF">
      <w:pPr>
        <w:sectPr w:rsidR="00306F34" w:rsidRPr="006410FC">
          <w:pgSz w:w="12240" w:h="15840" w:code="1"/>
          <w:pgMar w:top="1440" w:right="1440" w:bottom="1440" w:left="1440" w:header="720" w:footer="720" w:gutter="0"/>
          <w:cols w:space="720"/>
          <w:titlePg/>
          <w:docGrid w:linePitch="360"/>
        </w:sectPr>
      </w:pPr>
    </w:p>
    <w:p w:rsidR="00306F34" w:rsidRPr="008C3DD3" w:rsidRDefault="00306F34">
      <w:pPr>
        <w:pStyle w:val="00TitleC"/>
      </w:pPr>
      <w:r w:rsidRPr="008C3DD3">
        <w:lastRenderedPageBreak/>
        <w:t>EXHIBIT A</w:t>
      </w:r>
    </w:p>
    <w:p w:rsidR="002A766E" w:rsidRPr="008C3DD3" w:rsidRDefault="002A766E" w:rsidP="002A766E">
      <w:pPr>
        <w:pStyle w:val="00TitleC"/>
        <w:spacing w:after="120"/>
      </w:pPr>
      <w:r w:rsidRPr="008C3DD3">
        <w:t>MATURITY SCHEDULE</w:t>
      </w:r>
    </w:p>
    <w:p w:rsidR="00566DC5" w:rsidRPr="008C3DD3" w:rsidRDefault="00566DC5" w:rsidP="00566DC5">
      <w:pPr>
        <w:pStyle w:val="00Center"/>
      </w:pPr>
      <w:r w:rsidRPr="008C3DD3">
        <w:t>$[PAR A]</w:t>
      </w:r>
      <w:r w:rsidRPr="008C3DD3">
        <w:br/>
        <w:t xml:space="preserve">Independent Cities Finance Authority </w:t>
      </w:r>
      <w:r w:rsidRPr="008C3DD3">
        <w:br/>
        <w:t xml:space="preserve">Mobile Home Park Revenue Refunding Bonds </w:t>
      </w:r>
      <w:r w:rsidRPr="008C3DD3">
        <w:br/>
        <w:t>(Augusta Communities Mobile Home Park Pool) Series 2022A</w:t>
      </w:r>
    </w:p>
    <w:tbl>
      <w:tblPr>
        <w:tblW w:w="5000" w:type="pct"/>
        <w:jc w:val="center"/>
        <w:tblLook w:val="01E0" w:firstRow="1" w:lastRow="1" w:firstColumn="1" w:lastColumn="1" w:noHBand="0" w:noVBand="0"/>
      </w:tblPr>
      <w:tblGrid>
        <w:gridCol w:w="1920"/>
        <w:gridCol w:w="1309"/>
        <w:gridCol w:w="1309"/>
        <w:gridCol w:w="1359"/>
        <w:gridCol w:w="1582"/>
        <w:gridCol w:w="1881"/>
      </w:tblGrid>
      <w:tr w:rsidR="00E911EF" w:rsidRPr="008C3DD3" w:rsidTr="00FF18AA">
        <w:trPr>
          <w:jc w:val="center"/>
        </w:trPr>
        <w:tc>
          <w:tcPr>
            <w:tcW w:w="1026" w:type="pct"/>
            <w:shd w:val="clear" w:color="auto" w:fill="auto"/>
            <w:vAlign w:val="bottom"/>
          </w:tcPr>
          <w:p w:rsidR="00E911EF" w:rsidRPr="008C3DD3" w:rsidRDefault="00E911EF" w:rsidP="00FF18AA">
            <w:pPr>
              <w:jc w:val="center"/>
              <w:rPr>
                <w:u w:val="single"/>
              </w:rPr>
            </w:pPr>
            <w:r w:rsidRPr="008C3DD3">
              <w:t>Maturity</w:t>
            </w:r>
            <w:r w:rsidRPr="008C3DD3">
              <w:br/>
            </w:r>
            <w:r w:rsidRPr="008C3DD3">
              <w:rPr>
                <w:u w:val="single"/>
              </w:rPr>
              <w:t>Date</w:t>
            </w:r>
          </w:p>
        </w:tc>
        <w:tc>
          <w:tcPr>
            <w:tcW w:w="699" w:type="pct"/>
            <w:vAlign w:val="bottom"/>
          </w:tcPr>
          <w:p w:rsidR="00E911EF" w:rsidRPr="008C3DD3" w:rsidRDefault="00E911EF" w:rsidP="00FF18AA">
            <w:pPr>
              <w:jc w:val="center"/>
              <w:rPr>
                <w:u w:val="single"/>
              </w:rPr>
            </w:pPr>
            <w:r w:rsidRPr="008C3DD3">
              <w:t>Principal</w:t>
            </w:r>
            <w:r w:rsidRPr="008C3DD3">
              <w:rPr>
                <w:u w:val="single"/>
              </w:rPr>
              <w:t xml:space="preserve"> Amount</w:t>
            </w:r>
          </w:p>
        </w:tc>
        <w:tc>
          <w:tcPr>
            <w:tcW w:w="699" w:type="pct"/>
            <w:shd w:val="clear" w:color="auto" w:fill="auto"/>
            <w:vAlign w:val="bottom"/>
          </w:tcPr>
          <w:p w:rsidR="00E911EF" w:rsidRPr="008C3DD3" w:rsidRDefault="00E911EF" w:rsidP="00FF18AA">
            <w:pPr>
              <w:jc w:val="center"/>
              <w:rPr>
                <w:u w:val="single"/>
              </w:rPr>
            </w:pPr>
            <w:r w:rsidRPr="008C3DD3">
              <w:rPr>
                <w:u w:val="single"/>
              </w:rPr>
              <w:t>Rate</w:t>
            </w:r>
          </w:p>
        </w:tc>
        <w:tc>
          <w:tcPr>
            <w:tcW w:w="726" w:type="pct"/>
            <w:shd w:val="clear" w:color="auto" w:fill="auto"/>
            <w:vAlign w:val="bottom"/>
          </w:tcPr>
          <w:p w:rsidR="00E911EF" w:rsidRPr="008C3DD3" w:rsidRDefault="00E911EF" w:rsidP="00FF18AA">
            <w:pPr>
              <w:jc w:val="center"/>
              <w:rPr>
                <w:u w:val="single"/>
              </w:rPr>
            </w:pPr>
            <w:r w:rsidRPr="008C3DD3">
              <w:rPr>
                <w:u w:val="single"/>
              </w:rPr>
              <w:t>Yield</w:t>
            </w:r>
          </w:p>
        </w:tc>
        <w:tc>
          <w:tcPr>
            <w:tcW w:w="845" w:type="pct"/>
            <w:shd w:val="clear" w:color="auto" w:fill="auto"/>
            <w:vAlign w:val="bottom"/>
          </w:tcPr>
          <w:p w:rsidR="00E911EF" w:rsidRPr="008C3DD3" w:rsidRDefault="00E911EF" w:rsidP="00FF18AA">
            <w:pPr>
              <w:jc w:val="center"/>
              <w:rPr>
                <w:u w:val="single"/>
              </w:rPr>
            </w:pPr>
            <w:r w:rsidRPr="008C3DD3">
              <w:rPr>
                <w:u w:val="single"/>
              </w:rPr>
              <w:t>Price</w:t>
            </w:r>
          </w:p>
        </w:tc>
        <w:tc>
          <w:tcPr>
            <w:tcW w:w="1005" w:type="pct"/>
            <w:shd w:val="clear" w:color="auto" w:fill="auto"/>
            <w:vAlign w:val="bottom"/>
          </w:tcPr>
          <w:p w:rsidR="00E911EF" w:rsidRPr="008C3DD3" w:rsidRDefault="00E911EF" w:rsidP="00FF18AA">
            <w:pPr>
              <w:jc w:val="center"/>
            </w:pPr>
            <w:r w:rsidRPr="008C3DD3">
              <w:rPr>
                <w:u w:val="single"/>
              </w:rPr>
              <w:t>CUSIP</w:t>
            </w:r>
            <w:r w:rsidRPr="008C3DD3">
              <w:rPr>
                <w:vertAlign w:val="superscript"/>
              </w:rPr>
              <w:t>(1)</w:t>
            </w: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r w:rsidR="00E911EF" w:rsidRPr="008C3DD3" w:rsidTr="00FF18AA">
        <w:trPr>
          <w:jc w:val="center"/>
        </w:trPr>
        <w:tc>
          <w:tcPr>
            <w:tcW w:w="1026" w:type="pct"/>
            <w:shd w:val="clear" w:color="auto" w:fill="auto"/>
          </w:tcPr>
          <w:p w:rsidR="00E911EF" w:rsidRPr="008C3DD3" w:rsidRDefault="00E911EF" w:rsidP="00FF18AA">
            <w:pPr>
              <w:autoSpaceDE w:val="0"/>
              <w:autoSpaceDN w:val="0"/>
              <w:adjustRightInd w:val="0"/>
              <w:jc w:val="center"/>
            </w:pPr>
          </w:p>
        </w:tc>
        <w:tc>
          <w:tcPr>
            <w:tcW w:w="699" w:type="pct"/>
          </w:tcPr>
          <w:p w:rsidR="00E911EF" w:rsidRPr="008C3DD3" w:rsidRDefault="00E911EF" w:rsidP="00FF18AA">
            <w:pPr>
              <w:jc w:val="center"/>
            </w:pPr>
          </w:p>
        </w:tc>
        <w:tc>
          <w:tcPr>
            <w:tcW w:w="699" w:type="pct"/>
            <w:shd w:val="clear" w:color="auto" w:fill="auto"/>
          </w:tcPr>
          <w:p w:rsidR="00E911EF" w:rsidRPr="008C3DD3" w:rsidRDefault="00E911EF" w:rsidP="00FF18AA">
            <w:pPr>
              <w:jc w:val="center"/>
            </w:pPr>
          </w:p>
        </w:tc>
        <w:tc>
          <w:tcPr>
            <w:tcW w:w="726" w:type="pct"/>
            <w:shd w:val="clear" w:color="auto" w:fill="auto"/>
          </w:tcPr>
          <w:p w:rsidR="00E911EF" w:rsidRPr="008C3DD3" w:rsidRDefault="00E911EF" w:rsidP="00FF18AA">
            <w:pPr>
              <w:jc w:val="center"/>
            </w:pPr>
          </w:p>
        </w:tc>
        <w:tc>
          <w:tcPr>
            <w:tcW w:w="845" w:type="pct"/>
            <w:shd w:val="clear" w:color="auto" w:fill="auto"/>
          </w:tcPr>
          <w:p w:rsidR="00E911EF" w:rsidRPr="008C3DD3" w:rsidRDefault="00E911EF" w:rsidP="00FF18AA">
            <w:pPr>
              <w:jc w:val="center"/>
            </w:pPr>
          </w:p>
        </w:tc>
        <w:tc>
          <w:tcPr>
            <w:tcW w:w="1005" w:type="pct"/>
            <w:shd w:val="clear" w:color="auto" w:fill="auto"/>
          </w:tcPr>
          <w:p w:rsidR="00E911EF" w:rsidRPr="008C3DD3" w:rsidRDefault="00E911EF" w:rsidP="00FF18AA">
            <w:pPr>
              <w:jc w:val="center"/>
            </w:pPr>
          </w:p>
        </w:tc>
      </w:tr>
    </w:tbl>
    <w:p w:rsidR="00E911EF" w:rsidRPr="008C3DD3" w:rsidRDefault="00E911EF" w:rsidP="00E911EF"/>
    <w:p w:rsidR="00E911EF" w:rsidRPr="008C3DD3" w:rsidRDefault="00E911EF" w:rsidP="00E911EF"/>
    <w:p w:rsidR="00E911EF" w:rsidRPr="008C3DD3" w:rsidRDefault="00E911EF" w:rsidP="00E911EF">
      <w:pPr>
        <w:pStyle w:val="00Center"/>
      </w:pPr>
      <w:r w:rsidRPr="008C3DD3">
        <w:t>$[________]</w:t>
      </w:r>
      <w:r w:rsidRPr="008C3DD3">
        <w:rPr>
          <w:vertAlign w:val="superscript"/>
        </w:rPr>
        <w:t xml:space="preserve"> </w:t>
      </w:r>
      <w:r w:rsidRPr="008C3DD3">
        <w:t xml:space="preserve">– ___% Term Bonds due [June 15, 20__], Yield – ___%, Price – ___% </w:t>
      </w:r>
      <w:r w:rsidR="008C3DD3">
        <w:br/>
      </w:r>
      <w:r w:rsidRPr="008C3DD3">
        <w:t>CUSIP</w:t>
      </w:r>
      <w:r w:rsidR="008C3DD3" w:rsidRPr="008C3DD3">
        <w:rPr>
          <w:vertAlign w:val="superscript"/>
        </w:rPr>
        <w:t>(</w:t>
      </w:r>
      <w:r w:rsidR="008C3DD3" w:rsidRPr="008C3DD3">
        <w:rPr>
          <w:rStyle w:val="FootnoteReference"/>
        </w:rPr>
        <w:footnoteReference w:id="1"/>
      </w:r>
      <w:r w:rsidR="008C3DD3" w:rsidRPr="008C3DD3">
        <w:rPr>
          <w:vertAlign w:val="superscript"/>
        </w:rPr>
        <w:t>)</w:t>
      </w:r>
      <w:r w:rsidRPr="008C3DD3">
        <w:t xml:space="preserve"> ________</w:t>
      </w:r>
    </w:p>
    <w:p w:rsidR="00566DC5" w:rsidRPr="008C3DD3" w:rsidRDefault="00566DC5" w:rsidP="00566DC5"/>
    <w:p w:rsidR="00566DC5" w:rsidRPr="008C3DD3" w:rsidRDefault="00566DC5" w:rsidP="00566DC5"/>
    <w:p w:rsidR="00566DC5" w:rsidRPr="008C3DD3" w:rsidRDefault="00566DC5" w:rsidP="00566DC5">
      <w:pPr>
        <w:pStyle w:val="00Center"/>
      </w:pPr>
      <w:r w:rsidRPr="008C3DD3">
        <w:t>$[PAR B]</w:t>
      </w:r>
      <w:r w:rsidRPr="008C3DD3">
        <w:br/>
        <w:t xml:space="preserve">Independent Cities Finance Authority </w:t>
      </w:r>
      <w:r w:rsidRPr="008C3DD3">
        <w:br/>
        <w:t xml:space="preserve">Mobile Home Park Revenue Refunding Bonds </w:t>
      </w:r>
      <w:r w:rsidRPr="008C3DD3">
        <w:br/>
        <w:t>(Augusta Communities Mobile Home Park Pool) Series 2022B (Federally Taxable)</w:t>
      </w:r>
    </w:p>
    <w:p w:rsidR="005E4F66" w:rsidRPr="008C3DD3" w:rsidRDefault="005E4F66" w:rsidP="00566DC5"/>
    <w:p w:rsidR="00E911EF" w:rsidRPr="008C3DD3" w:rsidRDefault="00E911EF" w:rsidP="00E911EF"/>
    <w:p w:rsidR="00E911EF" w:rsidRPr="008C3DD3" w:rsidRDefault="00E911EF" w:rsidP="00E911EF">
      <w:pPr>
        <w:pStyle w:val="00Center"/>
      </w:pPr>
      <w:r w:rsidRPr="008C3DD3">
        <w:t>$[________]</w:t>
      </w:r>
      <w:r w:rsidRPr="008C3DD3">
        <w:rPr>
          <w:vertAlign w:val="superscript"/>
        </w:rPr>
        <w:t xml:space="preserve"> </w:t>
      </w:r>
      <w:r w:rsidRPr="008C3DD3">
        <w:t xml:space="preserve">– ___% Term Bonds due [June 15, 20__], Yield – ___%, Price – ___% </w:t>
      </w:r>
      <w:r w:rsidR="008C3DD3">
        <w:br/>
      </w:r>
      <w:r w:rsidRPr="008C3DD3">
        <w:t>CUSIP</w:t>
      </w:r>
      <w:r w:rsidRPr="008C3DD3">
        <w:rPr>
          <w:vertAlign w:val="superscript"/>
        </w:rPr>
        <w:t>(1)</w:t>
      </w:r>
      <w:r w:rsidRPr="008C3DD3">
        <w:t xml:space="preserve"> ________</w:t>
      </w:r>
    </w:p>
    <w:p w:rsidR="00E911EF" w:rsidRPr="00994B74" w:rsidRDefault="00E911EF" w:rsidP="00E911EF">
      <w:pPr>
        <w:rPr>
          <w:sz w:val="20"/>
          <w:szCs w:val="20"/>
        </w:rPr>
      </w:pPr>
    </w:p>
    <w:p w:rsidR="003470CB" w:rsidRDefault="003470CB" w:rsidP="00566DC5"/>
    <w:p w:rsidR="003B62D7" w:rsidRPr="003B62D7" w:rsidRDefault="003B62D7" w:rsidP="00566DC5"/>
    <w:p w:rsidR="00326005" w:rsidRPr="006410FC" w:rsidRDefault="00326005">
      <w:pPr>
        <w:sectPr w:rsidR="00326005" w:rsidRPr="006410FC" w:rsidSect="003B1E96">
          <w:footerReference w:type="default" r:id="rId16"/>
          <w:pgSz w:w="12240" w:h="15840" w:code="1"/>
          <w:pgMar w:top="1440" w:right="1440" w:bottom="1440" w:left="1440" w:header="720" w:footer="720" w:gutter="0"/>
          <w:pgNumType w:start="1"/>
          <w:cols w:space="720"/>
          <w:docGrid w:linePitch="360"/>
        </w:sectPr>
      </w:pPr>
    </w:p>
    <w:p w:rsidR="00306F34" w:rsidRPr="006410FC" w:rsidRDefault="00306F34">
      <w:pPr>
        <w:pStyle w:val="00TitleC"/>
      </w:pPr>
      <w:r w:rsidRPr="006410FC">
        <w:lastRenderedPageBreak/>
        <w:t>EXHIBIT B</w:t>
      </w:r>
    </w:p>
    <w:p w:rsidR="00306F34" w:rsidRDefault="00306F34">
      <w:pPr>
        <w:pStyle w:val="00Center"/>
        <w:rPr>
          <w:i/>
        </w:rPr>
      </w:pPr>
      <w:r w:rsidRPr="003B1E96">
        <w:rPr>
          <w:i/>
        </w:rPr>
        <w:t xml:space="preserve">Form of Opinion </w:t>
      </w:r>
      <w:r w:rsidR="008C3DD3">
        <w:rPr>
          <w:i/>
        </w:rPr>
        <w:t xml:space="preserve">of </w:t>
      </w:r>
      <w:r w:rsidRPr="003B1E96">
        <w:rPr>
          <w:i/>
        </w:rPr>
        <w:t>Bond Counsel</w:t>
      </w:r>
    </w:p>
    <w:p w:rsidR="008C3DD3" w:rsidRPr="008C3DD3" w:rsidRDefault="008C3DD3">
      <w:pPr>
        <w:pStyle w:val="00Center"/>
      </w:pPr>
      <w:r>
        <w:t>May [__], 2022</w:t>
      </w:r>
    </w:p>
    <w:p w:rsidR="00851360" w:rsidRPr="006410FC" w:rsidRDefault="000A59A0" w:rsidP="00851360">
      <w:r w:rsidRPr="006410FC">
        <w:t>Newcomb Williams Financial Group</w:t>
      </w:r>
    </w:p>
    <w:p w:rsidR="000E7FE3" w:rsidRPr="006410FC" w:rsidRDefault="000E7FE3" w:rsidP="000E7FE3">
      <w:r w:rsidRPr="006410FC">
        <w:t>Securities offered through Stinson Securities, LLC</w:t>
      </w:r>
    </w:p>
    <w:p w:rsidR="00E37FD4" w:rsidRDefault="00630261" w:rsidP="00E37FD4">
      <w:pPr>
        <w:pStyle w:val="00Normal"/>
        <w:spacing w:after="0"/>
      </w:pPr>
      <w:r w:rsidRPr="00F87D4F">
        <w:t>1254 Hoover St.</w:t>
      </w:r>
      <w:r>
        <w:br/>
      </w:r>
      <w:r w:rsidRPr="00F87D4F">
        <w:t>Carlsbad, CA 92008</w:t>
      </w:r>
      <w:r w:rsidRPr="006410FC">
        <w:br/>
        <w:t>Attention:  Pamela Newcomb</w:t>
      </w:r>
    </w:p>
    <w:p w:rsidR="00630261" w:rsidRPr="006410FC" w:rsidRDefault="00630261" w:rsidP="00E37FD4">
      <w:pPr>
        <w:pStyle w:val="00Normal"/>
        <w:spacing w:after="0"/>
      </w:pPr>
    </w:p>
    <w:p w:rsidR="00306F34" w:rsidRPr="006410FC" w:rsidRDefault="00306F34">
      <w:pPr>
        <w:pStyle w:val="00Normal"/>
      </w:pPr>
      <w:r w:rsidRPr="006410FC">
        <w:t>Ladies and Gentlemen:</w:t>
      </w:r>
    </w:p>
    <w:p w:rsidR="00851360" w:rsidRPr="006410FC" w:rsidRDefault="00851360" w:rsidP="00851360">
      <w:pPr>
        <w:pStyle w:val="00BodyText5"/>
      </w:pPr>
      <w:r w:rsidRPr="006410FC">
        <w:t xml:space="preserve">This supplemental opinion is rendered at your request in connection with the issuance by the Independent Cities Finance Authority (the “Issuer”) of its </w:t>
      </w:r>
      <w:r w:rsidR="00566DC5" w:rsidRPr="00566DC5">
        <w:t xml:space="preserve">$[PAR A] Independent Cities Finance Authority Mobile Home Park Revenue Refunding Bonds (Augusta Communities Mobile Home Park Pool) Series 2022A (the “Series A Bonds”) </w:t>
      </w:r>
      <w:r w:rsidR="00566DC5">
        <w:t>and</w:t>
      </w:r>
      <w:r w:rsidR="00566DC5" w:rsidRPr="00566DC5">
        <w:t xml:space="preserve"> $[PAR B] Independent Cities Finance Authority Mobile Home Park Revenue Refunding Bonds (Augusta Communities Mobile Home Park Pool) Series 2022B (Federally Taxable) (the “Series B Bonds” and together with the Series A Bonds, the “Bonds”)</w:t>
      </w:r>
      <w:r w:rsidRPr="006410FC">
        <w:t xml:space="preserve">, dated the date of delivery thereof, which are being purchased by the </w:t>
      </w:r>
      <w:r w:rsidR="004F12C5" w:rsidRPr="006410FC">
        <w:t>Underwriter</w:t>
      </w:r>
      <w:r w:rsidRPr="006410FC">
        <w:t xml:space="preserve"> pursuant to the Purchase Contract, dated </w:t>
      </w:r>
      <w:r w:rsidR="002D43AA">
        <w:t>May</w:t>
      </w:r>
      <w:r w:rsidR="008C3DD3">
        <w:t xml:space="preserve"> [__]</w:t>
      </w:r>
      <w:r w:rsidR="00EF211D">
        <w:t>, 20</w:t>
      </w:r>
      <w:r w:rsidR="00566DC5">
        <w:t>22</w:t>
      </w:r>
      <w:r w:rsidRPr="006410FC">
        <w:t xml:space="preserve"> (the “Purchase Contract”), between you, the Issuer and </w:t>
      </w:r>
      <w:r w:rsidR="00BC10A9">
        <w:t>Augusta Communities LLC</w:t>
      </w:r>
      <w:r w:rsidR="00AA503E" w:rsidRPr="006410FC">
        <w:t xml:space="preserve">, a California nonprofit public benefit corporation </w:t>
      </w:r>
      <w:r w:rsidRPr="006410FC">
        <w:t>(the “Borrower”).</w:t>
      </w:r>
    </w:p>
    <w:p w:rsidR="00851360" w:rsidRPr="006410FC" w:rsidRDefault="00851360" w:rsidP="00851360">
      <w:pPr>
        <w:pStyle w:val="00BodyText5"/>
      </w:pPr>
      <w:r w:rsidRPr="006410FC">
        <w:t xml:space="preserve">In connection with the issuance of the </w:t>
      </w:r>
      <w:r w:rsidR="00CE166D" w:rsidRPr="006410FC">
        <w:t>Bond</w:t>
      </w:r>
      <w:r w:rsidRPr="006410FC">
        <w:t xml:space="preserve">s, we have delivered to you a copy of our approving legal opinion as Bond Counsel (the “Approving Opinion”) and you may rely upon such Approving Opinion as if such opinion were addressed to you.  </w:t>
      </w:r>
    </w:p>
    <w:p w:rsidR="00851360" w:rsidRPr="006410FC" w:rsidRDefault="00851360" w:rsidP="00851360">
      <w:pPr>
        <w:pStyle w:val="00BodyText5"/>
      </w:pPr>
      <w:r w:rsidRPr="006410FC">
        <w:t xml:space="preserve">In rendering this opinion, we have examined and relied upon the matters contained, referred to and identified, and to the same extent stated, in the Approving Opinion.  We also have examined the Official Statement, dated </w:t>
      </w:r>
      <w:r w:rsidR="002D43AA">
        <w:t xml:space="preserve">May </w:t>
      </w:r>
      <w:r w:rsidR="008C3DD3">
        <w:t>[__]</w:t>
      </w:r>
      <w:r w:rsidR="00EF211D">
        <w:t>, 202</w:t>
      </w:r>
      <w:r w:rsidR="00566DC5">
        <w:t>2</w:t>
      </w:r>
      <w:r w:rsidRPr="006410FC">
        <w:t xml:space="preserve">, relating to the </w:t>
      </w:r>
      <w:r w:rsidR="00CE166D" w:rsidRPr="006410FC">
        <w:t>Bond</w:t>
      </w:r>
      <w:r w:rsidRPr="006410FC">
        <w:t>s.  All terms used in this supplemental opinion and not defined herein shall have the same meaning as assigned in the Approving Opinion.  We have assumed but have not independently verified that the signatures on all documents and certificates that we examined were genuine.</w:t>
      </w:r>
    </w:p>
    <w:p w:rsidR="00851360" w:rsidRPr="006410FC" w:rsidRDefault="00851360" w:rsidP="00851360">
      <w:pPr>
        <w:pStyle w:val="00BodyText5"/>
      </w:pPr>
      <w:r w:rsidRPr="006410FC">
        <w:t>Based on such examination, we are of the opinion that, under existing law:</w:t>
      </w:r>
    </w:p>
    <w:p w:rsidR="00851360" w:rsidRPr="006410FC" w:rsidRDefault="00851360" w:rsidP="00851360">
      <w:pPr>
        <w:pStyle w:val="00BodyText5"/>
      </w:pPr>
      <w:r w:rsidRPr="006410FC">
        <w:t>1.</w:t>
      </w:r>
      <w:r w:rsidRPr="006410FC">
        <w:tab/>
        <w:t>The Purchase Contract has been duly authorized, executed and delivered by the Issuer and, assuming the due authorization, execution and delivery thereof by other parties thereto, constitutes a valid and legally binding obligation of the Issuer, enforceable against the Issuer in accordance with its terms, except as the enforceability thereof may be limited by bankruptcy, insolvency, reorganization, moratorium and other laws affecting the rights of creditors generally.</w:t>
      </w:r>
    </w:p>
    <w:p w:rsidR="00851360" w:rsidRPr="006410FC" w:rsidRDefault="00851360" w:rsidP="00851360">
      <w:pPr>
        <w:pStyle w:val="00BodyText5"/>
      </w:pPr>
      <w:r w:rsidRPr="006410FC">
        <w:t>2.</w:t>
      </w:r>
      <w:r w:rsidRPr="006410FC">
        <w:tab/>
        <w:t xml:space="preserve">The </w:t>
      </w:r>
      <w:r w:rsidR="00CE166D" w:rsidRPr="006410FC">
        <w:t>Bond</w:t>
      </w:r>
      <w:r w:rsidRPr="006410FC">
        <w:t xml:space="preserve">s are not subject to the registration requirements of the Securities Act of 1933, as amended, and the Indenture is exempt from qualification under the Trust Indenture Act of 1939, as amended.  </w:t>
      </w:r>
    </w:p>
    <w:p w:rsidR="00851360" w:rsidRPr="006410FC" w:rsidRDefault="00851360" w:rsidP="00851360">
      <w:pPr>
        <w:pStyle w:val="00BodyText5"/>
      </w:pPr>
      <w:r w:rsidRPr="006410FC">
        <w:lastRenderedPageBreak/>
        <w:t>3.</w:t>
      </w:r>
      <w:r w:rsidRPr="006410FC">
        <w:tab/>
        <w:t xml:space="preserve">The statements relating to the </w:t>
      </w:r>
      <w:r w:rsidR="00CE166D" w:rsidRPr="006410FC">
        <w:t>Bond</w:t>
      </w:r>
      <w:r w:rsidRPr="006410FC">
        <w:t xml:space="preserve">s and the summaries of documents, statutes and opinions contained in the sections of the Official Statement entitled “INTRODUCTION,” “THE </w:t>
      </w:r>
      <w:r w:rsidR="00CE166D" w:rsidRPr="006410FC">
        <w:t>BOND</w:t>
      </w:r>
      <w:r w:rsidRPr="006410FC">
        <w:t xml:space="preserve">S,” other than information under the section entitled “Book-Entry System” therein, “SECURITY FOR THE </w:t>
      </w:r>
      <w:r w:rsidR="00CE166D" w:rsidRPr="006410FC">
        <w:t>BOND</w:t>
      </w:r>
      <w:r w:rsidRPr="006410FC">
        <w:t xml:space="preserve">S,” “THE INDENTURE,” “THE LOAN AGREEMENT,” “THE </w:t>
      </w:r>
      <w:r w:rsidR="00F65457">
        <w:t>REGULATORY AGREEMENT</w:t>
      </w:r>
      <w:r w:rsidR="004161E5">
        <w:t>S</w:t>
      </w:r>
      <w:r w:rsidRPr="006410FC">
        <w:t>,” and “TAX MATTERS” and in Appendi</w:t>
      </w:r>
      <w:r w:rsidR="008C3DD3">
        <w:t>x</w:t>
      </w:r>
      <w:r w:rsidRPr="006410FC">
        <w:t xml:space="preserve"> </w:t>
      </w:r>
      <w:r w:rsidR="006F2727" w:rsidRPr="006410FC">
        <w:t>A</w:t>
      </w:r>
      <w:r w:rsidRPr="006410FC">
        <w:t xml:space="preserve"> thereto, are accurate in all material respects.</w:t>
      </w:r>
    </w:p>
    <w:p w:rsidR="00851360" w:rsidRPr="006410FC" w:rsidRDefault="00851360" w:rsidP="00851360">
      <w:pPr>
        <w:pStyle w:val="00BodyText5"/>
      </w:pPr>
      <w:r w:rsidRPr="006410FC">
        <w:t>This opinion is issued as of the date hereof, and we assume no obligation to update, revise or supplement this opinion letter to reflect any facts or circumstances that may hereafter come to our attention, or any changes in law, or in interpretations thereof, that may hereafter occur, or for any other reason whatsoever.</w:t>
      </w:r>
    </w:p>
    <w:p w:rsidR="00851360" w:rsidRPr="006410FC" w:rsidRDefault="00851360" w:rsidP="00851360">
      <w:pPr>
        <w:pStyle w:val="00BodyText5"/>
      </w:pPr>
      <w:r w:rsidRPr="006410FC">
        <w:t>We are not passing upon and do not assume responsibility for the accuracy, completeness or fairness of any of the statements contained in the Official Statement and make no representation that we have independently verified the accuracy, completeness or fairness of any such statements.  In our capacity as bond counsel to the Issuer, we participated in conferences with your representatives and representatives of the Issuer, the Borrower, their respective counsel and others, during which the contents of the Official Statement and related matters were discussed.  Based on our participation in the above-mentioned conferences, and in reliance thereon and on the records, documents, certificates, opinions and matters mentioned herein and as set forth above, we advise you as a matter of fact and not opinion that, during the course of our representation of the Issuer on this matter, no facts came to the attention of the attorneys in our firm rendering legal services to the Issuer in connection with the Official Statement which caused us to believe that the Official Statement as of its date and as of the date hereof (except for any CUSIP numbers, financial, statistical or economic or engineering data or forecasts, numbers, charts, tables, graphs, estimates, projections, assumptions or expressions of opinion, any information about environmental matters, information contained in the sections of the Official Statement entitled</w:t>
      </w:r>
      <w:r w:rsidR="00D56D46" w:rsidRPr="006410FC">
        <w:t xml:space="preserve"> </w:t>
      </w:r>
      <w:r w:rsidRPr="006410FC">
        <w:t xml:space="preserve">“THE BORROWER,” “THE </w:t>
      </w:r>
      <w:r w:rsidR="00F65457">
        <w:t>PROJECT</w:t>
      </w:r>
      <w:r w:rsidR="004C0D47">
        <w:t>S</w:t>
      </w:r>
      <w:r w:rsidR="00956A89" w:rsidRPr="006410FC">
        <w:t>,</w:t>
      </w:r>
      <w:r w:rsidR="009F5AEC" w:rsidRPr="006410FC">
        <w:t>”</w:t>
      </w:r>
      <w:r w:rsidRPr="006410FC">
        <w:t xml:space="preserve"> </w:t>
      </w:r>
      <w:r w:rsidR="009F5AEC" w:rsidRPr="006410FC">
        <w:t>“</w:t>
      </w:r>
      <w:r w:rsidRPr="006410FC">
        <w:t>RISK FACTORS</w:t>
      </w:r>
      <w:r w:rsidR="000D52C6" w:rsidRPr="006410FC">
        <w:t>,</w:t>
      </w:r>
      <w:r w:rsidRPr="006410FC">
        <w:t xml:space="preserve">” </w:t>
      </w:r>
      <w:r w:rsidR="00D333E8" w:rsidRPr="006410FC">
        <w:t xml:space="preserve">“CONTINUING DISCLOSURE,” </w:t>
      </w:r>
      <w:r w:rsidR="003B1E96">
        <w:t xml:space="preserve">or </w:t>
      </w:r>
      <w:r w:rsidRPr="006410FC">
        <w:t>“LITIGATION</w:t>
      </w:r>
      <w:r w:rsidR="003B1E96">
        <w:t>,</w:t>
      </w:r>
      <w:r w:rsidRPr="006410FC">
        <w:t>”</w:t>
      </w:r>
      <w:r w:rsidR="000D52C6" w:rsidRPr="006410FC">
        <w:t xml:space="preserve"> </w:t>
      </w:r>
      <w:r w:rsidRPr="006410FC">
        <w:t>Appendi</w:t>
      </w:r>
      <w:r w:rsidR="003F31B6" w:rsidRPr="006410FC">
        <w:t>x</w:t>
      </w:r>
      <w:r w:rsidRPr="006410FC">
        <w:t xml:space="preserve"> </w:t>
      </w:r>
      <w:r w:rsidR="003F31B6" w:rsidRPr="006410FC">
        <w:t>C</w:t>
      </w:r>
      <w:r w:rsidR="003B1E96">
        <w:t>,</w:t>
      </w:r>
      <w:r w:rsidRPr="006410FC">
        <w:t xml:space="preserve"> or any information about book-entry or DTC, included or referred to therein, which we expressly exclude from the scope of this paragraph and as to which we express no opinion or view) contained or contains any untrue statement of a material fact or omitted or omits to state any material fact necessary to make the statements therein, in the light of the circumstances under which they were made, not misl</w:t>
      </w:r>
      <w:r w:rsidR="006E6F12" w:rsidRPr="006410FC">
        <w:t>eading.</w:t>
      </w:r>
    </w:p>
    <w:p w:rsidR="00851360" w:rsidRPr="006410FC" w:rsidRDefault="00851360" w:rsidP="00851360">
      <w:pPr>
        <w:pStyle w:val="BodyText5"/>
        <w:jc w:val="both"/>
      </w:pPr>
      <w:r w:rsidRPr="006410FC">
        <w:t xml:space="preserve">This letter is furnished by us to you as </w:t>
      </w:r>
      <w:r w:rsidR="004F12C5" w:rsidRPr="006410FC">
        <w:t>Underwriter</w:t>
      </w:r>
      <w:r w:rsidRPr="006410FC">
        <w:t xml:space="preserve"> of the </w:t>
      </w:r>
      <w:r w:rsidR="00CE166D" w:rsidRPr="006410FC">
        <w:t>Bond</w:t>
      </w:r>
      <w:r w:rsidRPr="006410FC">
        <w:t>s, is solely for</w:t>
      </w:r>
      <w:r w:rsidR="00B4015B" w:rsidRPr="006410FC">
        <w:t xml:space="preserve"> </w:t>
      </w:r>
      <w:r w:rsidRPr="006410FC">
        <w:t xml:space="preserve">your benefit and is not to be used, circulated, quoted or otherwise referred to or relied upon for any other purpose or by any other person. We are acting as bond counsel to the Issuer and no attorney-client relationship exists between our firm and you in connection with the </w:t>
      </w:r>
      <w:r w:rsidR="00CE166D" w:rsidRPr="006410FC">
        <w:t>Bond</w:t>
      </w:r>
      <w:r w:rsidRPr="006410FC">
        <w:t>s or by virtue of this letter.  We disclaim any obligation to update this letter.  This letter is not intended to, and may not, be relied upon by any party to whom this letter is not specifically addressed.</w:t>
      </w:r>
    </w:p>
    <w:p w:rsidR="00851360" w:rsidRPr="006410FC" w:rsidRDefault="00851360" w:rsidP="00851360">
      <w:pPr>
        <w:pStyle w:val="O-Signature"/>
        <w:ind w:left="4320"/>
        <w:rPr>
          <w:szCs w:val="24"/>
        </w:rPr>
      </w:pPr>
      <w:r w:rsidRPr="006410FC">
        <w:rPr>
          <w:szCs w:val="24"/>
        </w:rPr>
        <w:t>Very truly yours,</w:t>
      </w:r>
    </w:p>
    <w:p w:rsidR="00851360" w:rsidRPr="006410FC" w:rsidRDefault="00851360" w:rsidP="00566DC5"/>
    <w:p w:rsidR="00306F34" w:rsidRPr="006410FC" w:rsidRDefault="00306F34">
      <w:pPr>
        <w:sectPr w:rsidR="00306F34" w:rsidRPr="006410FC" w:rsidSect="003B1E96">
          <w:footerReference w:type="default" r:id="rId17"/>
          <w:pgSz w:w="12240" w:h="15840" w:code="1"/>
          <w:pgMar w:top="1440" w:right="1440" w:bottom="1440" w:left="1440" w:header="720" w:footer="720" w:gutter="0"/>
          <w:pgNumType w:start="1"/>
          <w:cols w:space="720"/>
          <w:docGrid w:linePitch="360"/>
        </w:sectPr>
      </w:pPr>
    </w:p>
    <w:p w:rsidR="00306F34" w:rsidRPr="006410FC" w:rsidRDefault="00306F34">
      <w:pPr>
        <w:pStyle w:val="00TitleC"/>
      </w:pPr>
      <w:r w:rsidRPr="006410FC">
        <w:lastRenderedPageBreak/>
        <w:t>EXHIBIT C</w:t>
      </w:r>
    </w:p>
    <w:p w:rsidR="00306F34" w:rsidRPr="003B1E96" w:rsidRDefault="00306F34">
      <w:pPr>
        <w:pStyle w:val="00Center"/>
        <w:rPr>
          <w:i/>
        </w:rPr>
      </w:pPr>
      <w:r w:rsidRPr="003B1E96">
        <w:rPr>
          <w:i/>
        </w:rPr>
        <w:t>Form of Opinion of</w:t>
      </w:r>
      <w:r w:rsidR="00326005" w:rsidRPr="003B1E96">
        <w:rPr>
          <w:i/>
        </w:rPr>
        <w:t xml:space="preserve"> </w:t>
      </w:r>
      <w:r w:rsidR="008C3DD3">
        <w:rPr>
          <w:i/>
        </w:rPr>
        <w:t xml:space="preserve">Borrower’s </w:t>
      </w:r>
      <w:r w:rsidRPr="003B1E96">
        <w:rPr>
          <w:i/>
        </w:rPr>
        <w:t xml:space="preserve">Counsel </w:t>
      </w:r>
    </w:p>
    <w:p w:rsidR="00566DC5" w:rsidRDefault="00566DC5" w:rsidP="00566DC5">
      <w:pPr>
        <w:pStyle w:val="00Center"/>
      </w:pPr>
      <w:r>
        <w:t>$[PAR A]</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2022A</w:t>
      </w:r>
    </w:p>
    <w:p w:rsidR="00566DC5" w:rsidRDefault="00566DC5" w:rsidP="00566DC5">
      <w:pPr>
        <w:pStyle w:val="00Center"/>
      </w:pPr>
      <w:r>
        <w:t>And</w:t>
      </w:r>
    </w:p>
    <w:p w:rsidR="00566DC5" w:rsidRPr="006410FC" w:rsidRDefault="00566DC5" w:rsidP="00566DC5">
      <w:pPr>
        <w:pStyle w:val="00Center"/>
      </w:pPr>
      <w:r>
        <w:t>$[PAR B]</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2022B (Federally Taxable)</w:t>
      </w:r>
    </w:p>
    <w:p w:rsidR="00B3519C" w:rsidRPr="006410FC" w:rsidRDefault="00B3519C" w:rsidP="00566DC5"/>
    <w:p w:rsidR="00306F34" w:rsidRPr="006410FC" w:rsidRDefault="008C3DD3">
      <w:pPr>
        <w:pStyle w:val="00Center"/>
      </w:pPr>
      <w:r>
        <w:t>May [__]</w:t>
      </w:r>
      <w:r w:rsidR="004161E5">
        <w:t>, 2022</w:t>
      </w:r>
    </w:p>
    <w:p w:rsidR="007E7951" w:rsidRPr="006410FC" w:rsidRDefault="007E7951" w:rsidP="007E7951">
      <w:pPr>
        <w:pStyle w:val="00Normal"/>
      </w:pPr>
      <w:r w:rsidRPr="006410FC">
        <w:t>Independent Cities Finance Authority</w:t>
      </w:r>
      <w:r w:rsidRPr="006410FC">
        <w:br/>
        <w:t>Post Office Box 6740</w:t>
      </w:r>
      <w:r w:rsidRPr="006410FC">
        <w:br/>
        <w:t>Lancaster, California 93539-6740</w:t>
      </w:r>
    </w:p>
    <w:p w:rsidR="00851360" w:rsidRPr="006410FC" w:rsidRDefault="000A59A0" w:rsidP="00851360">
      <w:r w:rsidRPr="006410FC">
        <w:t>Newcomb Williams Financial Group</w:t>
      </w:r>
    </w:p>
    <w:p w:rsidR="000E7FE3" w:rsidRPr="006410FC" w:rsidRDefault="000E7FE3" w:rsidP="00851360">
      <w:r w:rsidRPr="006410FC">
        <w:t>Securities offered through Stinson Securities, LLC</w:t>
      </w:r>
    </w:p>
    <w:p w:rsidR="00630261" w:rsidRDefault="00630261" w:rsidP="00630261">
      <w:pPr>
        <w:pStyle w:val="00Normal"/>
        <w:spacing w:after="0"/>
      </w:pPr>
      <w:r w:rsidRPr="00F87D4F">
        <w:t>1254 Hoover St.</w:t>
      </w:r>
      <w:r>
        <w:br/>
      </w:r>
      <w:r w:rsidRPr="00F87D4F">
        <w:t>Carlsbad, C</w:t>
      </w:r>
      <w:r w:rsidR="00566DC5">
        <w:t>alifornia</w:t>
      </w:r>
      <w:r w:rsidRPr="00F87D4F">
        <w:t xml:space="preserve"> 92008</w:t>
      </w:r>
      <w:r w:rsidRPr="006410FC">
        <w:br/>
        <w:t>Attention:  Pamela Newcomb</w:t>
      </w:r>
    </w:p>
    <w:p w:rsidR="00630261" w:rsidRPr="006410FC" w:rsidRDefault="00630261" w:rsidP="00630261">
      <w:pPr>
        <w:pStyle w:val="00Normal"/>
        <w:spacing w:after="0"/>
      </w:pPr>
    </w:p>
    <w:p w:rsidR="00F469ED" w:rsidRPr="006410FC" w:rsidRDefault="00AC5283">
      <w:pPr>
        <w:pStyle w:val="00Normal"/>
      </w:pPr>
      <w:r w:rsidRPr="006410FC">
        <w:t>Gilmore &amp; Bell, P.C.</w:t>
      </w:r>
      <w:r w:rsidR="00F469ED" w:rsidRPr="006410FC">
        <w:br/>
      </w:r>
      <w:r w:rsidRPr="006410FC">
        <w:t>15 W. South Temple</w:t>
      </w:r>
      <w:r w:rsidR="00F469ED" w:rsidRPr="006410FC">
        <w:t xml:space="preserve">, Suite </w:t>
      </w:r>
      <w:r w:rsidRPr="006410FC">
        <w:t>145</w:t>
      </w:r>
      <w:r w:rsidR="00F469ED" w:rsidRPr="006410FC">
        <w:t>0</w:t>
      </w:r>
      <w:r w:rsidR="00F469ED" w:rsidRPr="006410FC">
        <w:br/>
        <w:t xml:space="preserve">Salt Lake City, Utah </w:t>
      </w:r>
      <w:r w:rsidRPr="006410FC">
        <w:t>84101</w:t>
      </w:r>
    </w:p>
    <w:p w:rsidR="00306F34" w:rsidRPr="006410FC" w:rsidRDefault="00306F34">
      <w:pPr>
        <w:pStyle w:val="00Normal"/>
      </w:pPr>
      <w:r w:rsidRPr="006410FC">
        <w:t>Ladies and Gentlemen:</w:t>
      </w:r>
    </w:p>
    <w:p w:rsidR="00306F34" w:rsidRPr="006410FC" w:rsidRDefault="00306F34">
      <w:pPr>
        <w:pStyle w:val="00BodyText5"/>
      </w:pPr>
      <w:r w:rsidRPr="006410FC">
        <w:t xml:space="preserve">We are counsel to </w:t>
      </w:r>
      <w:r w:rsidR="00BC10A9">
        <w:t>Augusta Communities LLC</w:t>
      </w:r>
      <w:r w:rsidRPr="006410FC">
        <w:t xml:space="preserve"> (the “Borrower”) in connection with the issuance of the above-captioned Bonds and in such capacity we have examined the original, certified copies, or copies otherwise identified to our satisfaction as being true copies of such resolutions, documents, certificates, and records as we have deemed relevant and necessary (except as we have specifically limited the scope of our investigation herein), including the Borrower Documents and the Official Statement (as such terms are defined in the Purchase Contract dated </w:t>
      </w:r>
      <w:r w:rsidR="002D43AA">
        <w:t xml:space="preserve">May </w:t>
      </w:r>
      <w:r w:rsidR="00107165">
        <w:t>[__]</w:t>
      </w:r>
      <w:r w:rsidR="00EF211D">
        <w:t>, 202</w:t>
      </w:r>
      <w:r w:rsidR="00566DC5">
        <w:t>2</w:t>
      </w:r>
      <w:r w:rsidRPr="006410FC">
        <w:t xml:space="preserve"> among </w:t>
      </w:r>
      <w:r w:rsidR="00E37FD4" w:rsidRPr="006410FC">
        <w:t xml:space="preserve">Newcomb Williams Financial Group, Securities offered through Stinson Securities, LLC, </w:t>
      </w:r>
      <w:r w:rsidRPr="006410FC">
        <w:t>the Borrower and Independent Cities Finance Authority), as the basis for the opinions set forth herein relying on such examination and pertinent law and subject to the limitations and qualifications hereinafter set forth, we are of the opinion that:</w:t>
      </w:r>
    </w:p>
    <w:p w:rsidR="00306F34" w:rsidRPr="006410FC" w:rsidRDefault="001E022D">
      <w:pPr>
        <w:pStyle w:val="Heading1"/>
        <w:numPr>
          <w:ilvl w:val="0"/>
          <w:numId w:val="25"/>
        </w:numPr>
        <w:rPr>
          <w:szCs w:val="24"/>
        </w:rPr>
      </w:pPr>
      <w:r w:rsidRPr="006410FC">
        <w:rPr>
          <w:szCs w:val="24"/>
        </w:rPr>
        <w:lastRenderedPageBreak/>
        <w:t xml:space="preserve">The Borrower is a duly formed </w:t>
      </w:r>
      <w:r w:rsidR="008C3DD3">
        <w:rPr>
          <w:szCs w:val="24"/>
        </w:rPr>
        <w:t>limited liability company</w:t>
      </w:r>
      <w:r w:rsidR="000C19D6" w:rsidRPr="006410FC">
        <w:rPr>
          <w:szCs w:val="24"/>
        </w:rPr>
        <w:t>, validly organized and existing,</w:t>
      </w:r>
      <w:r w:rsidRPr="006410FC">
        <w:rPr>
          <w:szCs w:val="24"/>
        </w:rPr>
        <w:t xml:space="preserve"> in good standing under the laws of, and qualified to transact business in, the State of California</w:t>
      </w:r>
      <w:r w:rsidR="00306F34" w:rsidRPr="006410FC">
        <w:rPr>
          <w:szCs w:val="24"/>
        </w:rPr>
        <w:t>.</w:t>
      </w:r>
    </w:p>
    <w:p w:rsidR="00306F34" w:rsidRPr="006410FC" w:rsidRDefault="00306F34">
      <w:pPr>
        <w:pStyle w:val="Heading1"/>
        <w:numPr>
          <w:ilvl w:val="0"/>
          <w:numId w:val="25"/>
        </w:numPr>
        <w:rPr>
          <w:szCs w:val="24"/>
        </w:rPr>
      </w:pPr>
      <w:r w:rsidRPr="006410FC">
        <w:rPr>
          <w:szCs w:val="24"/>
        </w:rPr>
        <w:t>The Borrower has all requisite power and authority to enter into the Borrower Documents and to consummate the transactions contemplated thereby and otherwise to carry on its activities and own its properties.</w:t>
      </w:r>
    </w:p>
    <w:p w:rsidR="00306F34" w:rsidRPr="006410FC" w:rsidRDefault="00306F34" w:rsidP="000F46C0">
      <w:pPr>
        <w:pStyle w:val="Heading1"/>
        <w:numPr>
          <w:ilvl w:val="0"/>
          <w:numId w:val="25"/>
        </w:numPr>
        <w:rPr>
          <w:szCs w:val="24"/>
        </w:rPr>
      </w:pPr>
      <w:r w:rsidRPr="006410FC">
        <w:rPr>
          <w:szCs w:val="24"/>
        </w:rPr>
        <w:t xml:space="preserve">The Resolutions of the Board of Directors </w:t>
      </w:r>
      <w:r w:rsidR="001E022D" w:rsidRPr="006410FC">
        <w:rPr>
          <w:szCs w:val="24"/>
        </w:rPr>
        <w:t xml:space="preserve">of </w:t>
      </w:r>
      <w:r w:rsidR="008C3DD3">
        <w:rPr>
          <w:szCs w:val="24"/>
        </w:rPr>
        <w:t>Augusta Homes on behalf of the Borrower</w:t>
      </w:r>
      <w:r w:rsidRPr="006410FC">
        <w:rPr>
          <w:szCs w:val="24"/>
        </w:rPr>
        <w:t xml:space="preserve"> approving and authorizing the execution and delivery of the Borrower Documents were duly adopted by the Board of Directors of </w:t>
      </w:r>
      <w:r w:rsidR="008C3DD3">
        <w:rPr>
          <w:szCs w:val="24"/>
        </w:rPr>
        <w:t>Augusta Homes</w:t>
      </w:r>
      <w:r w:rsidRPr="006410FC">
        <w:rPr>
          <w:szCs w:val="24"/>
        </w:rPr>
        <w:t xml:space="preserve"> by unanimous written consent, following all notices required by law.</w:t>
      </w:r>
    </w:p>
    <w:p w:rsidR="00306F34" w:rsidRPr="006410FC" w:rsidRDefault="00306F34">
      <w:pPr>
        <w:pStyle w:val="Heading1"/>
        <w:numPr>
          <w:ilvl w:val="0"/>
          <w:numId w:val="25"/>
        </w:numPr>
        <w:rPr>
          <w:szCs w:val="24"/>
        </w:rPr>
      </w:pPr>
      <w:r w:rsidRPr="006410FC">
        <w:rPr>
          <w:szCs w:val="24"/>
        </w:rPr>
        <w:t>The Borrower Documents have been duly and validly authorized, executed and delivered by the Borrower and, assuming due authorization, execution and delivery thereof by the other respective parties thereto, will constitute the legal, valid and binding agreements of the Borrower, enforceable in accordance with their respective terms, except as enforceability may be limited by bankruptcy, reorganization, insolvency and other similar laws affecting enforcement of creditors’ rights generally and by the application of equitable principles if equitable remedies are sought and except as the indemnification provisions may be limited by applicable securities laws or by public policy.</w:t>
      </w:r>
    </w:p>
    <w:p w:rsidR="00306F34" w:rsidRPr="006410FC" w:rsidRDefault="00306F34">
      <w:pPr>
        <w:pStyle w:val="Heading1"/>
        <w:numPr>
          <w:ilvl w:val="0"/>
          <w:numId w:val="25"/>
        </w:numPr>
        <w:rPr>
          <w:szCs w:val="24"/>
        </w:rPr>
      </w:pPr>
      <w:r w:rsidRPr="006410FC">
        <w:rPr>
          <w:szCs w:val="24"/>
        </w:rPr>
        <w:t xml:space="preserve">To the best of our knowledge after due inquiry, no consent or approval of any trustee or holder of any indebtedness of the Borrower, and no consent, permission, authorization, order or license of or filing or registration with, any governmental authority, is necessary in connection with the execution and delivery by the Borrower of the Borrower Documents, the approval by the Borrower of the Official Statement or the consummation of any transaction by the Borrower therein contemplated except as have been obtained or made and as are in full force and effect and except such as may be required to acquire the </w:t>
      </w:r>
      <w:r w:rsidR="00F65457">
        <w:rPr>
          <w:szCs w:val="24"/>
        </w:rPr>
        <w:t>Project</w:t>
      </w:r>
      <w:r w:rsidR="004C0D47">
        <w:rPr>
          <w:szCs w:val="24"/>
        </w:rPr>
        <w:t>s</w:t>
      </w:r>
      <w:r w:rsidRPr="006410FC">
        <w:rPr>
          <w:szCs w:val="24"/>
        </w:rPr>
        <w:t xml:space="preserve"> which are expected to be obtained in the ordinary course.</w:t>
      </w:r>
    </w:p>
    <w:p w:rsidR="00306F34" w:rsidRPr="006410FC" w:rsidRDefault="00306F34">
      <w:pPr>
        <w:pStyle w:val="Heading1"/>
        <w:numPr>
          <w:ilvl w:val="0"/>
          <w:numId w:val="25"/>
        </w:numPr>
        <w:rPr>
          <w:szCs w:val="24"/>
        </w:rPr>
      </w:pPr>
      <w:r w:rsidRPr="006410FC">
        <w:rPr>
          <w:szCs w:val="24"/>
        </w:rPr>
        <w:t xml:space="preserve">The execution and delivery of the Borrower Documents by the Borrower, and the performance by the Borrower of its obligations thereunder, do not and will not (a) violate any provisions of the Articles of </w:t>
      </w:r>
      <w:r w:rsidR="00B67D6B" w:rsidRPr="006410FC">
        <w:rPr>
          <w:szCs w:val="24"/>
        </w:rPr>
        <w:t>Incorporation</w:t>
      </w:r>
      <w:r w:rsidR="00FA62A5" w:rsidRPr="006410FC">
        <w:rPr>
          <w:szCs w:val="24"/>
        </w:rPr>
        <w:t xml:space="preserve"> or </w:t>
      </w:r>
      <w:r w:rsidR="00B67D6B" w:rsidRPr="006410FC">
        <w:rPr>
          <w:szCs w:val="24"/>
        </w:rPr>
        <w:t>Bylaws</w:t>
      </w:r>
      <w:r w:rsidR="00FA62A5" w:rsidRPr="006410FC">
        <w:rPr>
          <w:szCs w:val="24"/>
        </w:rPr>
        <w:t xml:space="preserve"> </w:t>
      </w:r>
      <w:r w:rsidRPr="006410FC">
        <w:rPr>
          <w:szCs w:val="24"/>
        </w:rPr>
        <w:t>of the Borrower, (b) violate any law, rule or regulation having applicability to the Borrower or any order, writ, judgment, injunction, decree, determination or award to which the Borrower is a party and of which we are aware after reasonable inquiry, or (c) result in the breach of, or constitute a default under, any indenture or loan agreement or any other material agreement, lease or instrument to which the Borrower is a party and of which we are aware after reasonable inquiry.</w:t>
      </w:r>
    </w:p>
    <w:p w:rsidR="00306F34" w:rsidRPr="006410FC" w:rsidRDefault="00306F34">
      <w:pPr>
        <w:pStyle w:val="Heading1"/>
        <w:numPr>
          <w:ilvl w:val="0"/>
          <w:numId w:val="25"/>
        </w:numPr>
        <w:rPr>
          <w:szCs w:val="24"/>
        </w:rPr>
      </w:pPr>
      <w:r w:rsidRPr="006410FC">
        <w:rPr>
          <w:szCs w:val="24"/>
        </w:rPr>
        <w:t xml:space="preserve">We have no knowledge, after due investigation, of any pending or threatened actions, suits, proceedings, inquiries or investigations, before or by any court, regulatory agency, public board or body affecting the Borrower or its assets or operations which, if determined adversely to the Borrower or its interests, would materially adversely affect the consummation of the transactions contemplated by, or the validity of, the Borrower Documents or the financial condition, assets or operations of the Borrower.  We have no knowledge after due inquiry that the Borrower is in default with respect to any order or decree of any court or any order, regulation or </w:t>
      </w:r>
      <w:r w:rsidRPr="006410FC">
        <w:rPr>
          <w:szCs w:val="24"/>
        </w:rPr>
        <w:lastRenderedPageBreak/>
        <w:t>demand of any federal, state, municipal or governmental agency, which default might have consequences that would materially and adversely affect the consummation of the transactions contemplated by the Borrower Documents, or the financial condition, assets, or operations of the Borrower.</w:t>
      </w:r>
    </w:p>
    <w:p w:rsidR="00306F34" w:rsidRPr="006410FC" w:rsidRDefault="00306F34">
      <w:pPr>
        <w:pStyle w:val="Heading1"/>
        <w:numPr>
          <w:ilvl w:val="0"/>
          <w:numId w:val="25"/>
        </w:numPr>
        <w:rPr>
          <w:szCs w:val="24"/>
        </w:rPr>
      </w:pPr>
      <w:r w:rsidRPr="006410FC">
        <w:rPr>
          <w:szCs w:val="24"/>
        </w:rPr>
        <w:t>The execution and delivery of the Borrower Documents by the Borrower and performance by the Borrower of its obligations thereunder will not conflict with or result in breach of any of the terms, conditions or provisions of any agreement or instrument to which the Borrower is a party, or constitute a default thereunder.</w:t>
      </w:r>
    </w:p>
    <w:p w:rsidR="00306F34" w:rsidRPr="006410FC" w:rsidRDefault="00306F34">
      <w:pPr>
        <w:pStyle w:val="Heading1"/>
        <w:numPr>
          <w:ilvl w:val="0"/>
          <w:numId w:val="25"/>
        </w:numPr>
        <w:rPr>
          <w:szCs w:val="24"/>
        </w:rPr>
      </w:pPr>
      <w:r w:rsidRPr="006410FC">
        <w:rPr>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and adequate reserves have been made for the payment thereof.  To the best of our knowledge, there are no pending tax contests by the Borrower.</w:t>
      </w:r>
    </w:p>
    <w:p w:rsidR="00306F34" w:rsidRPr="006410FC" w:rsidRDefault="00306F34">
      <w:pPr>
        <w:pStyle w:val="Heading1"/>
        <w:numPr>
          <w:ilvl w:val="0"/>
          <w:numId w:val="25"/>
        </w:numPr>
        <w:rPr>
          <w:szCs w:val="24"/>
        </w:rPr>
      </w:pPr>
      <w:r w:rsidRPr="006410FC">
        <w:rPr>
          <w:szCs w:val="24"/>
        </w:rPr>
        <w:t xml:space="preserve">To the best of our knowledge after due inquiry and investigation, the Borrower has complied with all statutes, regulations and other laws of all governmental authorities, including environmental regulations, applicable to the Borrower or the </w:t>
      </w:r>
      <w:r w:rsidR="00F65457">
        <w:rPr>
          <w:szCs w:val="24"/>
        </w:rPr>
        <w:t>Project</w:t>
      </w:r>
      <w:r w:rsidR="004C0D47">
        <w:rPr>
          <w:szCs w:val="24"/>
        </w:rPr>
        <w:t>s</w:t>
      </w:r>
      <w:r w:rsidRPr="006410FC">
        <w:rPr>
          <w:szCs w:val="24"/>
        </w:rPr>
        <w:t>.</w:t>
      </w:r>
    </w:p>
    <w:p w:rsidR="00306F34" w:rsidRPr="006410FC" w:rsidRDefault="00306F34">
      <w:pPr>
        <w:pStyle w:val="Heading1"/>
        <w:numPr>
          <w:ilvl w:val="0"/>
          <w:numId w:val="25"/>
        </w:numPr>
        <w:rPr>
          <w:szCs w:val="24"/>
        </w:rPr>
      </w:pPr>
      <w:r w:rsidRPr="006410FC">
        <w:rPr>
          <w:szCs w:val="24"/>
        </w:rPr>
        <w:t>To the best of our knowledge after due inquiry and investigation, the Borrower is in compliance with all laws, statutes, ordinances, regulations, covenants, conditions and restrictions affecting it or its operations and has not committed, suffered or permitted any act to be done in violation of any law, ordinance or regulation except where such noncompliance or act would not have a material adverse effect on the business, property or financial condition of the Borrower.</w:t>
      </w:r>
    </w:p>
    <w:p w:rsidR="00306F34" w:rsidRPr="006410FC" w:rsidRDefault="00306F34">
      <w:pPr>
        <w:pStyle w:val="Heading1"/>
        <w:numPr>
          <w:ilvl w:val="0"/>
          <w:numId w:val="25"/>
        </w:numPr>
        <w:rPr>
          <w:szCs w:val="24"/>
        </w:rPr>
      </w:pPr>
      <w:r w:rsidRPr="006410FC">
        <w:rPr>
          <w:szCs w:val="24"/>
        </w:rPr>
        <w:t xml:space="preserve">Nothing has come to our attention that would indicate that the description of the Borrower or the </w:t>
      </w:r>
      <w:r w:rsidR="00F65457">
        <w:rPr>
          <w:szCs w:val="24"/>
        </w:rPr>
        <w:t>Project</w:t>
      </w:r>
      <w:r w:rsidR="004C0D47">
        <w:rPr>
          <w:szCs w:val="24"/>
        </w:rPr>
        <w:t>s</w:t>
      </w:r>
      <w:r w:rsidRPr="006410FC">
        <w:rPr>
          <w:szCs w:val="24"/>
        </w:rPr>
        <w:t xml:space="preserve"> contained in the Official Statement contains an untrue statement of a material fact or omits to state a material fact necessary to make the statements therein, in the light of the circumstances under which they were made, not misleading.</w:t>
      </w:r>
    </w:p>
    <w:p w:rsidR="00306F34" w:rsidRPr="006410FC" w:rsidRDefault="00306F34">
      <w:pPr>
        <w:pStyle w:val="Heading1"/>
        <w:numPr>
          <w:ilvl w:val="0"/>
          <w:numId w:val="25"/>
        </w:numPr>
        <w:rPr>
          <w:szCs w:val="24"/>
        </w:rPr>
      </w:pPr>
      <w:r w:rsidRPr="006410FC">
        <w:rPr>
          <w:szCs w:val="24"/>
        </w:rPr>
        <w:t>There are no legal or governmental proceedings pending or, to the best of our knowledge, threatened against the Borrower that are required to be disclosed in the Official Statement.</w:t>
      </w:r>
    </w:p>
    <w:p w:rsidR="00306F34" w:rsidRPr="006410FC" w:rsidRDefault="00306F34">
      <w:pPr>
        <w:pStyle w:val="Heading1"/>
        <w:numPr>
          <w:ilvl w:val="0"/>
          <w:numId w:val="25"/>
        </w:numPr>
        <w:rPr>
          <w:szCs w:val="24"/>
        </w:rPr>
      </w:pPr>
      <w:r w:rsidRPr="006410FC">
        <w:rPr>
          <w:szCs w:val="24"/>
        </w:rPr>
        <w:t>It is our opinion based upon due inquiry and investigation that no information furnished by the Borrower in connection with the Borrower Documents includes any untrue statement of a material fact or omits to state a material fact necessary in order to make the statements made in such information, in the light of the circumstances in which they were made, not misleading in any material respect.</w:t>
      </w:r>
    </w:p>
    <w:p w:rsidR="00306F34" w:rsidRPr="006410FC" w:rsidRDefault="00306F34">
      <w:pPr>
        <w:pStyle w:val="Heading1"/>
        <w:numPr>
          <w:ilvl w:val="0"/>
          <w:numId w:val="25"/>
        </w:numPr>
        <w:rPr>
          <w:szCs w:val="24"/>
        </w:rPr>
      </w:pPr>
      <w:r w:rsidRPr="006410FC">
        <w:rPr>
          <w:szCs w:val="24"/>
        </w:rPr>
        <w:t>The Borrower is an organization described in §501(c)(3) of the Internal Revenue Code of 1986, as amended (the “Code”), as set forth in a determination letter issued by the Internal Revenue Service</w:t>
      </w:r>
      <w:r w:rsidR="008C3DD3">
        <w:rPr>
          <w:szCs w:val="24"/>
        </w:rPr>
        <w:t xml:space="preserve"> to Augusta Homes, the sole member of the Borrower</w:t>
      </w:r>
      <w:r w:rsidRPr="006410FC">
        <w:rPr>
          <w:szCs w:val="24"/>
        </w:rPr>
        <w:t xml:space="preserve">; and </w:t>
      </w:r>
      <w:r w:rsidR="008C3DD3">
        <w:rPr>
          <w:szCs w:val="24"/>
        </w:rPr>
        <w:t xml:space="preserve">the Borrower </w:t>
      </w:r>
      <w:r w:rsidRPr="006410FC">
        <w:rPr>
          <w:szCs w:val="24"/>
        </w:rPr>
        <w:t xml:space="preserve">is in compliance with the terms, conditions and limitations contained in said Section and in said determination letter, and is exempt from federal income taxes under §501 (a) of said Code.  To the best of our knowledge, there is no pending or threatened change in such status.  No information </w:t>
      </w:r>
      <w:r w:rsidRPr="006410FC">
        <w:rPr>
          <w:szCs w:val="24"/>
        </w:rPr>
        <w:lastRenderedPageBreak/>
        <w:t xml:space="preserve">has come to our attention that would indicate that </w:t>
      </w:r>
      <w:r w:rsidR="00326005" w:rsidRPr="006410FC">
        <w:rPr>
          <w:szCs w:val="24"/>
        </w:rPr>
        <w:t xml:space="preserve">the </w:t>
      </w:r>
      <w:r w:rsidRPr="006410FC">
        <w:rPr>
          <w:szCs w:val="24"/>
        </w:rPr>
        <w:t xml:space="preserve">Borrower is no longer eligible for said exemption, that </w:t>
      </w:r>
      <w:r w:rsidR="00326005" w:rsidRPr="006410FC">
        <w:rPr>
          <w:szCs w:val="24"/>
        </w:rPr>
        <w:t xml:space="preserve">the </w:t>
      </w:r>
      <w:r w:rsidRPr="006410FC">
        <w:rPr>
          <w:szCs w:val="24"/>
        </w:rPr>
        <w:t>Borrower is not in compliance with the terms, conditions and limitations in said determination and/or that the facts and circumstances that form the basis of such determination as represented to the Internal Revenue Service do not continue to exist in any material respects.</w:t>
      </w:r>
    </w:p>
    <w:p w:rsidR="00306F34" w:rsidRPr="006410FC" w:rsidRDefault="00FA62A5">
      <w:pPr>
        <w:pStyle w:val="Heading1"/>
        <w:numPr>
          <w:ilvl w:val="0"/>
          <w:numId w:val="25"/>
        </w:numPr>
        <w:rPr>
          <w:szCs w:val="24"/>
        </w:rPr>
      </w:pPr>
      <w:r w:rsidRPr="006410FC">
        <w:rPr>
          <w:szCs w:val="24"/>
        </w:rPr>
        <w:t>The Borrower</w:t>
      </w:r>
      <w:r w:rsidR="008C3DD3">
        <w:rPr>
          <w:szCs w:val="24"/>
        </w:rPr>
        <w:t>’s sole member, Augusta Homes,</w:t>
      </w:r>
      <w:r w:rsidRPr="006410FC">
        <w:rPr>
          <w:szCs w:val="24"/>
        </w:rPr>
        <w:t xml:space="preserve"> is an organization described in §23701(d) of the California Revenue and Taxation Code, is in compliance with the terms, conditions and limitations contained in the ruling of the California Franchise Tax Board as to the exempt status of the Borrower under said Section and is exempt from all California Income Taxes to the extent provided in §23701 of said Code</w:t>
      </w:r>
      <w:r w:rsidR="002342CC" w:rsidRPr="006410FC">
        <w:rPr>
          <w:szCs w:val="24"/>
        </w:rPr>
        <w:t xml:space="preserve"> and is exempt from Fra</w:t>
      </w:r>
      <w:r w:rsidR="00C5485A" w:rsidRPr="006410FC">
        <w:rPr>
          <w:szCs w:val="24"/>
        </w:rPr>
        <w:t xml:space="preserve">nchise Taxes </w:t>
      </w:r>
      <w:r w:rsidR="002342CC" w:rsidRPr="006410FC">
        <w:rPr>
          <w:szCs w:val="24"/>
        </w:rPr>
        <w:t xml:space="preserve">to the extent provided in </w:t>
      </w:r>
      <w:r w:rsidR="0099305E" w:rsidRPr="006410FC">
        <w:rPr>
          <w:szCs w:val="24"/>
        </w:rPr>
        <w:t>§</w:t>
      </w:r>
      <w:r w:rsidR="002342CC" w:rsidRPr="006410FC">
        <w:rPr>
          <w:szCs w:val="24"/>
        </w:rPr>
        <w:t>23701(h)</w:t>
      </w:r>
      <w:r w:rsidR="00C5485A" w:rsidRPr="006410FC">
        <w:rPr>
          <w:szCs w:val="24"/>
        </w:rPr>
        <w:t xml:space="preserve"> of said Code</w:t>
      </w:r>
      <w:r w:rsidRPr="006410FC">
        <w:rPr>
          <w:szCs w:val="24"/>
        </w:rPr>
        <w:t>.</w:t>
      </w:r>
    </w:p>
    <w:p w:rsidR="00306F34" w:rsidRPr="006410FC" w:rsidRDefault="00306F34">
      <w:pPr>
        <w:pStyle w:val="Heading1"/>
        <w:numPr>
          <w:ilvl w:val="0"/>
          <w:numId w:val="25"/>
        </w:numPr>
        <w:rPr>
          <w:szCs w:val="24"/>
        </w:rPr>
      </w:pPr>
      <w:r w:rsidRPr="006410FC">
        <w:rPr>
          <w:szCs w:val="24"/>
        </w:rPr>
        <w:t xml:space="preserve">The Borrower is a corporation organized and operated exclusively for charitable purposes (within the meaning of §501(c)(3) of the Code), and not for pecuniary profit.  The </w:t>
      </w:r>
      <w:r w:rsidR="00F65457">
        <w:rPr>
          <w:szCs w:val="24"/>
        </w:rPr>
        <w:t>Project</w:t>
      </w:r>
      <w:r w:rsidR="004C0D47">
        <w:rPr>
          <w:szCs w:val="24"/>
        </w:rPr>
        <w:t>s</w:t>
      </w:r>
      <w:r w:rsidRPr="006410FC">
        <w:rPr>
          <w:szCs w:val="24"/>
        </w:rPr>
        <w:t xml:space="preserve"> </w:t>
      </w:r>
      <w:r w:rsidR="004C0D47">
        <w:rPr>
          <w:szCs w:val="24"/>
        </w:rPr>
        <w:t>are</w:t>
      </w:r>
      <w:r w:rsidRPr="006410FC">
        <w:rPr>
          <w:szCs w:val="24"/>
        </w:rPr>
        <w:t xml:space="preserve"> in furtherance of the exempt purpose </w:t>
      </w:r>
      <w:r w:rsidR="00326005" w:rsidRPr="006410FC">
        <w:rPr>
          <w:szCs w:val="24"/>
        </w:rPr>
        <w:t xml:space="preserve">of the </w:t>
      </w:r>
      <w:r w:rsidRPr="006410FC">
        <w:rPr>
          <w:szCs w:val="24"/>
        </w:rPr>
        <w:t xml:space="preserve">Borrower and the ownership and operation by the Borrower of the </w:t>
      </w:r>
      <w:r w:rsidR="00F65457">
        <w:rPr>
          <w:szCs w:val="24"/>
        </w:rPr>
        <w:t>Project</w:t>
      </w:r>
      <w:r w:rsidR="004C0D47">
        <w:rPr>
          <w:szCs w:val="24"/>
        </w:rPr>
        <w:t>s</w:t>
      </w:r>
      <w:r w:rsidRPr="006410FC">
        <w:rPr>
          <w:szCs w:val="24"/>
        </w:rPr>
        <w:t>, in the manner contemplated by the Borrower Documents, will not result in any unrelated trade or business income for the Borrower.</w:t>
      </w:r>
    </w:p>
    <w:p w:rsidR="00306F34" w:rsidRPr="006410FC" w:rsidRDefault="00306F34">
      <w:pPr>
        <w:pStyle w:val="Signature"/>
      </w:pPr>
      <w:r w:rsidRPr="006410FC">
        <w:t>Very truly yours,</w:t>
      </w:r>
    </w:p>
    <w:p w:rsidR="00306F34" w:rsidRPr="006410FC" w:rsidRDefault="00306F34">
      <w:pPr>
        <w:sectPr w:rsidR="00306F34" w:rsidRPr="006410FC" w:rsidSect="003B1E96">
          <w:footerReference w:type="default" r:id="rId18"/>
          <w:pgSz w:w="12240" w:h="15840" w:code="1"/>
          <w:pgMar w:top="1440" w:right="1440" w:bottom="1440" w:left="1440" w:header="720" w:footer="720" w:gutter="0"/>
          <w:pgNumType w:start="1"/>
          <w:cols w:space="720"/>
          <w:docGrid w:linePitch="360"/>
        </w:sectPr>
      </w:pPr>
    </w:p>
    <w:p w:rsidR="00306F34" w:rsidRPr="006410FC" w:rsidRDefault="00306F34">
      <w:pPr>
        <w:pStyle w:val="00TitleC"/>
      </w:pPr>
      <w:r w:rsidRPr="006410FC">
        <w:lastRenderedPageBreak/>
        <w:t>EXHIBIT D</w:t>
      </w:r>
    </w:p>
    <w:p w:rsidR="00306F34" w:rsidRPr="003B1E96" w:rsidRDefault="00107165">
      <w:pPr>
        <w:pStyle w:val="00Center"/>
        <w:rPr>
          <w:i/>
        </w:rPr>
      </w:pPr>
      <w:r>
        <w:rPr>
          <w:i/>
        </w:rPr>
        <w:t xml:space="preserve">Form of </w:t>
      </w:r>
      <w:r w:rsidR="00306F34" w:rsidRPr="003B1E96">
        <w:rPr>
          <w:i/>
        </w:rPr>
        <w:t>Opinion of the Issuer’s Counsel</w:t>
      </w:r>
    </w:p>
    <w:p w:rsidR="00566DC5" w:rsidRDefault="00566DC5" w:rsidP="00566DC5">
      <w:pPr>
        <w:pStyle w:val="00Center"/>
      </w:pPr>
      <w:r>
        <w:t>$[PAR A]</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2022A</w:t>
      </w:r>
    </w:p>
    <w:p w:rsidR="00566DC5" w:rsidRDefault="00566DC5" w:rsidP="00566DC5">
      <w:pPr>
        <w:pStyle w:val="00Center"/>
      </w:pPr>
      <w:r>
        <w:t>And</w:t>
      </w:r>
    </w:p>
    <w:p w:rsidR="00566DC5" w:rsidRPr="006410FC" w:rsidRDefault="00566DC5" w:rsidP="00566DC5">
      <w:pPr>
        <w:pStyle w:val="00Center"/>
      </w:pPr>
      <w:r>
        <w:t>$[PAR B]</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2022B (Federally Taxable)</w:t>
      </w:r>
    </w:p>
    <w:p w:rsidR="002A7B43" w:rsidRPr="006410FC" w:rsidRDefault="002A7B43" w:rsidP="00566DC5"/>
    <w:p w:rsidR="002A7B43" w:rsidRPr="006410FC" w:rsidRDefault="00107165" w:rsidP="002A7B43">
      <w:pPr>
        <w:pStyle w:val="00Center"/>
      </w:pPr>
      <w:r>
        <w:t>May [__]</w:t>
      </w:r>
      <w:r w:rsidR="004161E5">
        <w:t>, 2022</w:t>
      </w:r>
    </w:p>
    <w:p w:rsidR="007E7951" w:rsidRPr="006410FC" w:rsidRDefault="007E7951" w:rsidP="007E7951">
      <w:pPr>
        <w:pStyle w:val="00Normal"/>
      </w:pPr>
      <w:r w:rsidRPr="006410FC">
        <w:t>Independent Cities Finance Authority</w:t>
      </w:r>
      <w:r w:rsidRPr="006410FC">
        <w:br/>
        <w:t>Post Office Box 6740</w:t>
      </w:r>
      <w:r w:rsidRPr="006410FC">
        <w:br/>
        <w:t>Lancaster, California 93539-6740</w:t>
      </w:r>
    </w:p>
    <w:p w:rsidR="00851360" w:rsidRPr="006410FC" w:rsidRDefault="000A59A0" w:rsidP="00851360">
      <w:r w:rsidRPr="006410FC">
        <w:t>Newcomb Williams Financial Group</w:t>
      </w:r>
    </w:p>
    <w:p w:rsidR="005B09BC" w:rsidRPr="006410FC" w:rsidRDefault="005B09BC" w:rsidP="005B09BC">
      <w:r w:rsidRPr="006410FC">
        <w:t>Securities offered through Stinson Securities, LLC</w:t>
      </w:r>
    </w:p>
    <w:p w:rsidR="00630261" w:rsidRDefault="00630261" w:rsidP="00630261">
      <w:pPr>
        <w:pStyle w:val="00Normal"/>
        <w:spacing w:after="0"/>
      </w:pPr>
      <w:r w:rsidRPr="00F87D4F">
        <w:t>1254 Hoover St.</w:t>
      </w:r>
      <w:r>
        <w:br/>
      </w:r>
      <w:r w:rsidRPr="00F87D4F">
        <w:t>Carlsbad, C</w:t>
      </w:r>
      <w:r w:rsidR="00566DC5">
        <w:t>alifornia</w:t>
      </w:r>
      <w:r w:rsidRPr="00F87D4F">
        <w:t xml:space="preserve"> 92008</w:t>
      </w:r>
      <w:r w:rsidRPr="006410FC">
        <w:br/>
        <w:t>Attention:  Pamela Newcomb</w:t>
      </w:r>
    </w:p>
    <w:p w:rsidR="00630261" w:rsidRPr="006410FC" w:rsidRDefault="00630261" w:rsidP="00630261">
      <w:pPr>
        <w:pStyle w:val="00Normal"/>
        <w:spacing w:after="0"/>
      </w:pPr>
    </w:p>
    <w:p w:rsidR="00306F34" w:rsidRPr="006410FC" w:rsidRDefault="00306F34">
      <w:pPr>
        <w:pStyle w:val="00Normal"/>
      </w:pPr>
      <w:r w:rsidRPr="006410FC">
        <w:t>Ladies and Gentlemen:</w:t>
      </w:r>
    </w:p>
    <w:p w:rsidR="00306F34" w:rsidRPr="006410FC" w:rsidRDefault="00306F34">
      <w:pPr>
        <w:pStyle w:val="00BodyText5"/>
      </w:pPr>
      <w:r w:rsidRPr="00253F9C">
        <w:t>We are counsel to the Independent Cities Finance Authority (the “Issuer”) and have acted as such in connection with the issuance by the Issuer of the captioned bonds (the “Bonds”).  This opinion letter is being furnished to you at the request of the Issuer and in satisfaction of the requirements of Section 9(e)(</w:t>
      </w:r>
      <w:r w:rsidR="008F6DA5" w:rsidRPr="00253F9C">
        <w:t>11</w:t>
      </w:r>
      <w:r w:rsidRPr="00253F9C">
        <w:t>) of the Purchase Contract (the “Purchase Contract”), dated</w:t>
      </w:r>
      <w:r w:rsidR="0049681E" w:rsidRPr="00253F9C">
        <w:t xml:space="preserve"> </w:t>
      </w:r>
      <w:r w:rsidR="002D43AA">
        <w:t xml:space="preserve">May </w:t>
      </w:r>
      <w:r w:rsidR="008C3DD3">
        <w:t>[__]</w:t>
      </w:r>
      <w:r w:rsidR="00EF211D" w:rsidRPr="00253F9C">
        <w:t>, 202</w:t>
      </w:r>
      <w:r w:rsidR="00566DC5" w:rsidRPr="00253F9C">
        <w:t>2</w:t>
      </w:r>
      <w:r w:rsidRPr="00253F9C">
        <w:t xml:space="preserve">, among the Issuer, </w:t>
      </w:r>
      <w:r w:rsidR="00BC10A9" w:rsidRPr="00253F9C">
        <w:t>Augusta Communities LLC</w:t>
      </w:r>
      <w:r w:rsidRPr="00253F9C">
        <w:t xml:space="preserve"> (the “Borrower”) and </w:t>
      </w:r>
      <w:r w:rsidR="00E37FD4" w:rsidRPr="00253F9C">
        <w:t xml:space="preserve">Newcomb Williams Financial Group, Securities offered through Stinson Securities, LLC </w:t>
      </w:r>
      <w:r w:rsidRPr="00253F9C">
        <w:t>(the “</w:t>
      </w:r>
      <w:r w:rsidR="004F12C5" w:rsidRPr="00253F9C">
        <w:t>Underwriter</w:t>
      </w:r>
      <w:r w:rsidRPr="00253F9C">
        <w:t>”).  Acceptance of this opinion letter by you shall conclusively operate as your acknowledgement that this opinion letter addresses all of the specific legal issues that are to be dealt with in our opinions set forth herein.</w:t>
      </w:r>
    </w:p>
    <w:p w:rsidR="00306F34" w:rsidRPr="006410FC" w:rsidRDefault="00306F34">
      <w:pPr>
        <w:pStyle w:val="00BodyText5"/>
      </w:pPr>
      <w:r w:rsidRPr="006410FC">
        <w:t>In rendering the opinions set forth herein, we have examined and relied upon originals, or copies certified or otherwise identified to our satisfaction as being true copies of originals, of the following:</w:t>
      </w:r>
    </w:p>
    <w:p w:rsidR="00306F34" w:rsidRPr="006410FC" w:rsidRDefault="00306F34">
      <w:pPr>
        <w:pStyle w:val="Heading1"/>
        <w:numPr>
          <w:ilvl w:val="0"/>
          <w:numId w:val="26"/>
        </w:numPr>
        <w:rPr>
          <w:szCs w:val="24"/>
        </w:rPr>
      </w:pPr>
      <w:r w:rsidRPr="006410FC">
        <w:rPr>
          <w:szCs w:val="24"/>
        </w:rPr>
        <w:t xml:space="preserve">A Resolution (the “Resolution”) adopted by the Board of Directors/Executive Committee of the Board of Directors of the Authority on </w:t>
      </w:r>
      <w:r w:rsidR="008C3DD3">
        <w:rPr>
          <w:szCs w:val="24"/>
        </w:rPr>
        <w:t>[</w:t>
      </w:r>
      <w:r w:rsidR="004161E5">
        <w:rPr>
          <w:szCs w:val="24"/>
        </w:rPr>
        <w:t>_________</w:t>
      </w:r>
      <w:r w:rsidR="008C3DD3">
        <w:rPr>
          <w:szCs w:val="24"/>
        </w:rPr>
        <w:t>]</w:t>
      </w:r>
      <w:r w:rsidR="004218BB">
        <w:rPr>
          <w:szCs w:val="24"/>
        </w:rPr>
        <w:t>,</w:t>
      </w:r>
      <w:r w:rsidRPr="006410FC">
        <w:rPr>
          <w:szCs w:val="24"/>
        </w:rPr>
        <w:t xml:space="preserve"> </w:t>
      </w:r>
      <w:r w:rsidR="006E6F12" w:rsidRPr="006410FC">
        <w:rPr>
          <w:szCs w:val="24"/>
        </w:rPr>
        <w:t>20</w:t>
      </w:r>
      <w:r w:rsidR="009935CF">
        <w:rPr>
          <w:szCs w:val="24"/>
        </w:rPr>
        <w:t>2</w:t>
      </w:r>
      <w:r w:rsidR="00566DC5">
        <w:rPr>
          <w:szCs w:val="24"/>
        </w:rPr>
        <w:t>2</w:t>
      </w:r>
      <w:r w:rsidRPr="006410FC">
        <w:rPr>
          <w:szCs w:val="24"/>
        </w:rPr>
        <w:t>.</w:t>
      </w:r>
    </w:p>
    <w:p w:rsidR="00306F34" w:rsidRPr="006410FC" w:rsidRDefault="00306F34">
      <w:pPr>
        <w:pStyle w:val="Heading1"/>
        <w:numPr>
          <w:ilvl w:val="0"/>
          <w:numId w:val="26"/>
        </w:numPr>
        <w:rPr>
          <w:szCs w:val="24"/>
        </w:rPr>
      </w:pPr>
      <w:r w:rsidRPr="006410FC">
        <w:rPr>
          <w:szCs w:val="24"/>
        </w:rPr>
        <w:lastRenderedPageBreak/>
        <w:t>The Purchase Contract.</w:t>
      </w:r>
    </w:p>
    <w:p w:rsidR="00306F34" w:rsidRPr="006410FC" w:rsidRDefault="00306F34">
      <w:pPr>
        <w:pStyle w:val="Heading1"/>
        <w:numPr>
          <w:ilvl w:val="0"/>
          <w:numId w:val="26"/>
        </w:numPr>
        <w:rPr>
          <w:szCs w:val="24"/>
        </w:rPr>
      </w:pPr>
      <w:r w:rsidRPr="006410FC">
        <w:rPr>
          <w:szCs w:val="24"/>
        </w:rPr>
        <w:t xml:space="preserve">The Indenture of Trust (the “Indenture”), dated as of </w:t>
      </w:r>
      <w:r w:rsidR="004C0D47">
        <w:rPr>
          <w:szCs w:val="24"/>
        </w:rPr>
        <w:t>May</w:t>
      </w:r>
      <w:r w:rsidR="00D00AB6">
        <w:rPr>
          <w:szCs w:val="24"/>
        </w:rPr>
        <w:t xml:space="preserve"> 1, 2022</w:t>
      </w:r>
      <w:r w:rsidRPr="006410FC">
        <w:rPr>
          <w:szCs w:val="24"/>
        </w:rPr>
        <w:t xml:space="preserve">, by and between the Issuer and </w:t>
      </w:r>
      <w:r w:rsidR="00A246A5">
        <w:rPr>
          <w:szCs w:val="24"/>
        </w:rPr>
        <w:t>U.S. Bank Trust Company,</w:t>
      </w:r>
      <w:r w:rsidR="00EF211D">
        <w:rPr>
          <w:szCs w:val="24"/>
        </w:rPr>
        <w:t xml:space="preserve"> National Association</w:t>
      </w:r>
      <w:r w:rsidRPr="006410FC">
        <w:rPr>
          <w:szCs w:val="24"/>
        </w:rPr>
        <w:t xml:space="preserve"> (the “Trustee”).</w:t>
      </w:r>
    </w:p>
    <w:p w:rsidR="00306F34" w:rsidRPr="006410FC" w:rsidRDefault="00306F34">
      <w:pPr>
        <w:pStyle w:val="Heading1"/>
        <w:numPr>
          <w:ilvl w:val="0"/>
          <w:numId w:val="26"/>
        </w:numPr>
        <w:rPr>
          <w:szCs w:val="24"/>
        </w:rPr>
      </w:pPr>
      <w:r w:rsidRPr="006410FC">
        <w:rPr>
          <w:szCs w:val="24"/>
        </w:rPr>
        <w:t xml:space="preserve">The Loan Agreement (the “Loan Agreement”), dated as of </w:t>
      </w:r>
      <w:r w:rsidR="004C0D47">
        <w:rPr>
          <w:szCs w:val="24"/>
        </w:rPr>
        <w:t xml:space="preserve">May </w:t>
      </w:r>
      <w:r w:rsidR="00D00AB6">
        <w:rPr>
          <w:szCs w:val="24"/>
        </w:rPr>
        <w:t>1, 2022</w:t>
      </w:r>
      <w:r w:rsidRPr="006410FC">
        <w:rPr>
          <w:szCs w:val="24"/>
        </w:rPr>
        <w:t>, by and among the Issuer, the Borrower and the Trustee.</w:t>
      </w:r>
    </w:p>
    <w:p w:rsidR="003B1E96" w:rsidRDefault="003B1E96" w:rsidP="003B1E96">
      <w:pPr>
        <w:pStyle w:val="Heading1"/>
        <w:numPr>
          <w:ilvl w:val="0"/>
          <w:numId w:val="26"/>
        </w:numPr>
        <w:rPr>
          <w:szCs w:val="24"/>
        </w:rPr>
      </w:pPr>
      <w:r w:rsidRPr="003B1E96">
        <w:rPr>
          <w:szCs w:val="24"/>
        </w:rPr>
        <w:t xml:space="preserve">The Regulatory Agreement and Declaration of Restrictive Covenants, dated as of </w:t>
      </w:r>
      <w:r w:rsidR="004C0D47">
        <w:rPr>
          <w:szCs w:val="24"/>
        </w:rPr>
        <w:t xml:space="preserve">May </w:t>
      </w:r>
      <w:r w:rsidRPr="003B1E96">
        <w:rPr>
          <w:szCs w:val="24"/>
        </w:rPr>
        <w:t xml:space="preserve">1, 2022, by and among the Authority, the Trustee and the Borrower relating to the Hacienda Mobile Home Park; the Regulatory Agreement and Declaration of Restrictive Covenants, dated as of </w:t>
      </w:r>
      <w:r w:rsidR="004C0D47">
        <w:rPr>
          <w:szCs w:val="24"/>
        </w:rPr>
        <w:t xml:space="preserve">May </w:t>
      </w:r>
      <w:r w:rsidRPr="003B1E96">
        <w:rPr>
          <w:szCs w:val="24"/>
        </w:rPr>
        <w:t xml:space="preserve">1, 2022, by and among the Authority, the Trustee and the Borrower relating to the Villa Montclair Mobile Home Park; and the Regulatory Agreement and Declaration of Restrictive Covenants, dated as of </w:t>
      </w:r>
      <w:r w:rsidR="004C0D47">
        <w:rPr>
          <w:szCs w:val="24"/>
        </w:rPr>
        <w:t xml:space="preserve">May </w:t>
      </w:r>
      <w:r w:rsidRPr="003B1E96">
        <w:rPr>
          <w:szCs w:val="24"/>
        </w:rPr>
        <w:t xml:space="preserve">1, 2022, by and among the Authority, the Trustee and the Borrower relating to the Monterey Manor Mobile Home Estates (collectively, the “Regulatory Agreements”). </w:t>
      </w:r>
    </w:p>
    <w:p w:rsidR="00107165" w:rsidRPr="00107165" w:rsidRDefault="00107165" w:rsidP="00107165">
      <w:pPr>
        <w:pStyle w:val="Heading1"/>
        <w:numPr>
          <w:ilvl w:val="0"/>
          <w:numId w:val="26"/>
        </w:numPr>
      </w:pPr>
      <w:r>
        <w:rPr>
          <w:szCs w:val="24"/>
        </w:rPr>
        <w:t>The</w:t>
      </w:r>
      <w:r w:rsidRPr="00D443A5">
        <w:rPr>
          <w:szCs w:val="24"/>
        </w:rPr>
        <w:t xml:space="preserve"> Tax Certificate and Agreement, dated as of </w:t>
      </w:r>
      <w:r>
        <w:rPr>
          <w:szCs w:val="24"/>
        </w:rPr>
        <w:t>May 1, 2022</w:t>
      </w:r>
      <w:r w:rsidRPr="00D443A5">
        <w:rPr>
          <w:szCs w:val="24"/>
        </w:rPr>
        <w:t xml:space="preserve">, </w:t>
      </w:r>
      <w:r>
        <w:rPr>
          <w:szCs w:val="24"/>
        </w:rPr>
        <w:t>among</w:t>
      </w:r>
      <w:r w:rsidRPr="00D443A5">
        <w:rPr>
          <w:szCs w:val="24"/>
        </w:rPr>
        <w:t xml:space="preserve"> the Issuer, </w:t>
      </w:r>
      <w:r w:rsidRPr="00D443A5">
        <w:t xml:space="preserve">Augusta Homes, a California nonprofit public benefit corporation, </w:t>
      </w:r>
      <w:r>
        <w:t xml:space="preserve">as the sole member of the Borrower, the Borrower, and the Trustee </w:t>
      </w:r>
      <w:r w:rsidRPr="00D443A5">
        <w:rPr>
          <w:szCs w:val="24"/>
        </w:rPr>
        <w:t>with respect to the Series A Bonds</w:t>
      </w:r>
      <w:r>
        <w:rPr>
          <w:szCs w:val="24"/>
        </w:rPr>
        <w:t xml:space="preserve"> (the “Tax Certificate”).</w:t>
      </w:r>
    </w:p>
    <w:p w:rsidR="00306F34" w:rsidRPr="006410FC" w:rsidRDefault="00306F34">
      <w:pPr>
        <w:pStyle w:val="00BodyText5"/>
      </w:pPr>
      <w:r w:rsidRPr="006410FC">
        <w:t xml:space="preserve">The Purchase Contract, the Indenture, the Loan Agreement, the </w:t>
      </w:r>
      <w:r w:rsidR="00F65457">
        <w:t>Regulatory Agreement</w:t>
      </w:r>
      <w:r w:rsidR="003B1E96">
        <w:t>s</w:t>
      </w:r>
      <w:r w:rsidR="00107165">
        <w:t>, and the Tax Certificate</w:t>
      </w:r>
      <w:r w:rsidRPr="006410FC">
        <w:t xml:space="preserve"> are collectively referred to herein as the “Basic Documents</w:t>
      </w:r>
      <w:r w:rsidR="003B1E96">
        <w:t>.</w:t>
      </w:r>
      <w:r w:rsidRPr="006410FC">
        <w:t>”</w:t>
      </w:r>
    </w:p>
    <w:p w:rsidR="00306F34" w:rsidRPr="006410FC" w:rsidRDefault="00306F34">
      <w:pPr>
        <w:pStyle w:val="00BodyText5"/>
      </w:pPr>
      <w:r w:rsidRPr="006410FC">
        <w:t>Except as otherwise stated herein, in expressing the opinions set forth below, we have examined such other documents and records as we have deemed necessary, and as to questions of fact material to our opinions, we have relied upon representations of the Issuer contained in the Basic Documents and in the certified proceedings and other certifications of public officials and others furnished to us, without undertaking to verify the same by independent investigation.</w:t>
      </w:r>
    </w:p>
    <w:p w:rsidR="00DE347A" w:rsidRPr="006410FC" w:rsidRDefault="00DE347A" w:rsidP="00DE347A">
      <w:pPr>
        <w:pStyle w:val="00BodyText5"/>
      </w:pPr>
      <w:r w:rsidRPr="006410FC">
        <w:t>We have also reviewed such other documents and matters of fact and law as we deem necessary in connection with the following opinions. The opinions expressed herein are based on an analysis of existing statutes, regulations, rulings and court decisions and cover certain matters not directly addressed by such authorities. Such opinions may be affected by actions taken or omitted or events occurring after the date hereof. We have not undertaken to determine, or to inform any person, whether any such actions or events are taken or do occur.</w:t>
      </w:r>
    </w:p>
    <w:p w:rsidR="00F211C6" w:rsidRPr="006410FC" w:rsidRDefault="00F211C6" w:rsidP="00F211C6">
      <w:pPr>
        <w:pStyle w:val="00BodyText5"/>
      </w:pPr>
      <w:r w:rsidRPr="006410FC">
        <w:t>We have assumed without investigation (i) the authenticity and completeness of all documents and other writings submitted to or reviewed by us as originals and the conformity in all respects to originals of all documents and other writings submitted to or reviewed by us as copies or reproductions of originals, (ii) the genuineness of all documents and signatures to all such documents and other writings, and (iii) that all such documents and other writings have been duly authorized, executed and delivered by the parties to such documents and other writings. We have assumed, the accuracy of the factual matters represented, warranted or certified therein.</w:t>
      </w:r>
    </w:p>
    <w:p w:rsidR="00306F34" w:rsidRPr="006410FC" w:rsidRDefault="00F211C6" w:rsidP="00F211C6">
      <w:pPr>
        <w:pStyle w:val="00BodyText5"/>
      </w:pPr>
      <w:r w:rsidRPr="006410FC">
        <w:t>We express no opinion with respect to any indemnification, contribution, lien priority or choice of law provisions contained in the foregoing documents.</w:t>
      </w:r>
    </w:p>
    <w:p w:rsidR="00306F34" w:rsidRPr="006410FC" w:rsidRDefault="00306F34">
      <w:pPr>
        <w:pStyle w:val="00BodyText5"/>
      </w:pPr>
      <w:r w:rsidRPr="006410FC">
        <w:lastRenderedPageBreak/>
        <w:t>Whenever a statement herein is qualified by “to the best of our knowledge,” it shall be deemed to indicate that, during the course of our representation of the Issuer in connection with this transaction, no information that would give us current actual knowledge of the inaccuracy of such statement has come to the attention of the attorneys in this firm who perform legal services for the Issuer on a regular basis.  We have not, however, undertaken any independent investigation to determine the accuracy of such statements, and any limited inquiry undertaken by us during the preparation of this opinion letter should not be regarded as such investigation.  No inference as to our knowledge of any matters bearing upon the accuracy of any such statements should be drawn from the fact of our representation of the Issuer.</w:t>
      </w:r>
    </w:p>
    <w:p w:rsidR="00306F34" w:rsidRPr="006410FC" w:rsidRDefault="00306F34">
      <w:pPr>
        <w:pStyle w:val="00BodyText5"/>
      </w:pPr>
      <w:r w:rsidRPr="006410FC">
        <w:t>Our opinions set forth herein do not extend to, and we express no opinions herein with respect to, any laws other than the laws of the State of California, but exclusive of the tax laws, rules and regulations of the State of California and the laws of the State of California relating to debt limitations and restrictions applicable to public entities.</w:t>
      </w:r>
    </w:p>
    <w:p w:rsidR="00306F34" w:rsidRPr="006410FC" w:rsidRDefault="00306F34">
      <w:pPr>
        <w:pStyle w:val="00BodyText5"/>
      </w:pPr>
      <w:r w:rsidRPr="006410FC">
        <w:t>On the basis of, and subject to and in reliance upon, the foregoing, we are of the opinion that:</w:t>
      </w:r>
    </w:p>
    <w:p w:rsidR="00306F34" w:rsidRPr="006410FC" w:rsidRDefault="00306F34">
      <w:pPr>
        <w:pStyle w:val="00LeftIndent5"/>
        <w:ind w:firstLine="720"/>
      </w:pPr>
      <w:r w:rsidRPr="006410FC">
        <w:t>(i)</w:t>
      </w:r>
      <w:r w:rsidRPr="006410FC">
        <w:tab/>
        <w:t>the Issuer is duly organized and validly existing as a joint exercise of powers authority under the laws of the State of California;</w:t>
      </w:r>
    </w:p>
    <w:p w:rsidR="00306F34" w:rsidRPr="006410FC" w:rsidRDefault="00306F34">
      <w:pPr>
        <w:pStyle w:val="00LeftIndent5"/>
        <w:ind w:firstLine="720"/>
      </w:pPr>
      <w:r w:rsidRPr="006410FC">
        <w:t>(ii)</w:t>
      </w:r>
      <w:r w:rsidRPr="006410FC">
        <w:tab/>
        <w:t xml:space="preserve">the Resolution was duly adopted at a meeting of the Executive Committee </w:t>
      </w:r>
      <w:r w:rsidR="00562BDB" w:rsidRPr="006410FC">
        <w:t>and</w:t>
      </w:r>
      <w:r w:rsidRPr="006410FC">
        <w:t xml:space="preserve"> the Board of Directors of the Issuer that was duly called and held pursuant to law and at which a quorum was present and acting throughout, and the Resolution is in full force and effect and has not been amended, modified or rescinded as of the date hereof;</w:t>
      </w:r>
    </w:p>
    <w:p w:rsidR="00306F34" w:rsidRPr="006410FC" w:rsidRDefault="00306F34">
      <w:pPr>
        <w:pStyle w:val="00LeftIndent5"/>
        <w:ind w:firstLine="720"/>
      </w:pPr>
      <w:r w:rsidRPr="006410FC">
        <w:t>(iii)</w:t>
      </w:r>
      <w:r w:rsidRPr="006410FC">
        <w:tab/>
      </w:r>
      <w:r w:rsidR="00562BDB" w:rsidRPr="006410FC">
        <w:t>to the best of our knowledge, the execution and delivery of the Bonds and the Basic Documents, and the performance by the Issuer thereof and compliance with the provisions on the Issuer’s part contained therein, will not conflict in any material way with or constitute a material breach of or material default under any judgment or decree or under any material loan agreement, indenture, bond, note, resolution, agreement or other instrument to which the Issuer is a party or to which the Issuer or any of its property or assets is otherwise subject, nor will any such execution, delivery, adoption or compliance result in the creation or imposition of any lien, charge or other security interest or encumbrance of any nature whatsoever upon any of the property or assets of the Issuer or under the terms of any such instrument, except as provided by the Bonds or the Basic Documents; and</w:t>
      </w:r>
    </w:p>
    <w:p w:rsidR="00306F34" w:rsidRPr="006410FC" w:rsidRDefault="00306F34">
      <w:pPr>
        <w:pStyle w:val="00LeftIndent5"/>
        <w:ind w:firstLine="720"/>
      </w:pPr>
      <w:r w:rsidRPr="006410FC">
        <w:t>(iv)</w:t>
      </w:r>
      <w:r w:rsidRPr="006410FC">
        <w:tab/>
      </w:r>
      <w:r w:rsidR="00562BDB" w:rsidRPr="006410FC">
        <w:t>to the best of our knowledge, as of the day before the Closing Date, there is no action, suit, proceeding, inquiry or investigation, notice of which has been served on the Issuer, at law or in equity before or by any court, government agency, public board or body, pending or threatened against the Issuer, affecting the existence of the Issuer or the titles of its officers to their respective offices with the Issuer or contesting or affecting as to the Issuer the validity or enforceability of the Bonds, any Basic Document or the execution and delivery or performance by the Issuer of the Bonds or any Basic Document or in any way contesting or challenging the consummation of the transactions contemplated thereby</w:t>
      </w:r>
      <w:r w:rsidRPr="006410FC">
        <w:t>.</w:t>
      </w:r>
    </w:p>
    <w:p w:rsidR="002564D1" w:rsidRPr="006410FC" w:rsidRDefault="002564D1" w:rsidP="002564D1">
      <w:pPr>
        <w:pStyle w:val="00BodyText5"/>
      </w:pPr>
      <w:r w:rsidRPr="006410FC">
        <w:lastRenderedPageBreak/>
        <w:t>Our opinion is further qualified by the following:</w:t>
      </w:r>
    </w:p>
    <w:p w:rsidR="002564D1" w:rsidRPr="006410FC" w:rsidRDefault="002564D1" w:rsidP="002564D1">
      <w:pPr>
        <w:pStyle w:val="00BodyText5"/>
      </w:pPr>
      <w:r w:rsidRPr="006410FC">
        <w:t>(a)</w:t>
      </w:r>
      <w:r w:rsidR="00566DC5">
        <w:tab/>
      </w:r>
      <w:r w:rsidRPr="006410FC">
        <w:t>We express no opinion with respect to the laws of any state or jurisdiction other than California and the United States regarding the enforceability of any transaction mentioned herein or the interpretation, authorization, execution, validity, enforceability or effect of any of the documents mentioned herein; provided further that we express no opinion with respect to California or federal tax and securities law.</w:t>
      </w:r>
    </w:p>
    <w:p w:rsidR="002564D1" w:rsidRPr="006410FC" w:rsidRDefault="002564D1" w:rsidP="002564D1">
      <w:pPr>
        <w:pStyle w:val="00BodyText5"/>
      </w:pPr>
      <w:r w:rsidRPr="006410FC">
        <w:t>(b)</w:t>
      </w:r>
      <w:r w:rsidR="00566DC5">
        <w:tab/>
      </w:r>
      <w:r w:rsidRPr="006410FC">
        <w:t>As counsel to the Issuer in this matter, we have not rendered financial advice to the Issuer and do not represent by this opinion, or otherwise, that we reviewed or made any assessment about, nor do we express any opinion whatsoever about, the ability of the Issuer to pay principal of and interest on the Bonds.</w:t>
      </w:r>
    </w:p>
    <w:p w:rsidR="002564D1" w:rsidRPr="006410FC" w:rsidRDefault="002564D1" w:rsidP="002564D1">
      <w:pPr>
        <w:pStyle w:val="00BodyText5"/>
      </w:pPr>
      <w:r w:rsidRPr="006410FC">
        <w:t>(c)</w:t>
      </w:r>
      <w:r w:rsidR="00566DC5">
        <w:tab/>
      </w:r>
      <w:r w:rsidRPr="006410FC">
        <w:t>We express no opinion as to the validity and enforceability of any indemnity or liquidated damages provisions.</w:t>
      </w:r>
    </w:p>
    <w:p w:rsidR="002564D1" w:rsidRPr="006410FC" w:rsidRDefault="002564D1" w:rsidP="002564D1">
      <w:pPr>
        <w:pStyle w:val="00BodyText5"/>
      </w:pPr>
      <w:r w:rsidRPr="006410FC">
        <w:t>This letter is furnished by us as counsel to the Issuer. Other than the Issuer, no attorney-client relationship has existed or exists between our firm and you in connection with the bonds or by virtue of this letter. This opinion letter is rendered solely for the benefit of the addressees in connection with the subject transaction and may not be relied upon or used, or its benefit claimed, by any other person or entity, or for any other purpose, without our prior written consent. This letter is not intended to, and may not, be relied upon by owners of the bonds.</w:t>
      </w:r>
    </w:p>
    <w:p w:rsidR="00306F34" w:rsidRPr="006410FC" w:rsidRDefault="00306F34">
      <w:pPr>
        <w:pStyle w:val="00BodyText5"/>
      </w:pPr>
      <w:r w:rsidRPr="006410FC">
        <w:t xml:space="preserve">We bring to your attention the fact that our legal opinions are an expression of professional judgment and are not a guarantee of a result.  Our engagement with respect to the </w:t>
      </w:r>
      <w:r w:rsidR="00846CC3" w:rsidRPr="006410FC">
        <w:t>Bond</w:t>
      </w:r>
      <w:r w:rsidRPr="006410FC">
        <w:t>s has terminated as of the date hereof, and we disclaim any obligation to update this opinion letter.</w:t>
      </w:r>
    </w:p>
    <w:p w:rsidR="00306F34" w:rsidRPr="006410FC" w:rsidRDefault="00306F34">
      <w:pPr>
        <w:pStyle w:val="Signature"/>
      </w:pPr>
      <w:r w:rsidRPr="006410FC">
        <w:t>Very truly yours,</w:t>
      </w:r>
    </w:p>
    <w:p w:rsidR="00306F34" w:rsidRDefault="00306F34"/>
    <w:p w:rsidR="004500C2" w:rsidRDefault="004500C2">
      <w:pPr>
        <w:sectPr w:rsidR="004500C2" w:rsidSect="003B1E96">
          <w:footerReference w:type="default" r:id="rId19"/>
          <w:pgSz w:w="12240" w:h="15840" w:code="1"/>
          <w:pgMar w:top="1440" w:right="1440" w:bottom="1440" w:left="1440" w:header="720" w:footer="720" w:gutter="0"/>
          <w:pgNumType w:start="1"/>
          <w:cols w:space="720"/>
          <w:docGrid w:linePitch="360"/>
        </w:sectPr>
      </w:pPr>
    </w:p>
    <w:p w:rsidR="004500C2" w:rsidRDefault="00E911EF" w:rsidP="00E911EF">
      <w:pPr>
        <w:pStyle w:val="00TitleC"/>
      </w:pPr>
      <w:r>
        <w:lastRenderedPageBreak/>
        <w:t>EXHIBIT E</w:t>
      </w:r>
    </w:p>
    <w:p w:rsidR="00E911EF" w:rsidRPr="00E911EF" w:rsidRDefault="00E911EF" w:rsidP="00E911EF">
      <w:pPr>
        <w:pStyle w:val="00Center"/>
        <w:rPr>
          <w:b/>
        </w:rPr>
      </w:pPr>
      <w:r w:rsidRPr="00E911EF">
        <w:rPr>
          <w:b/>
        </w:rPr>
        <w:t>FORM OF ISSUE PRICE CERTIFICATE</w:t>
      </w:r>
    </w:p>
    <w:p w:rsidR="00E911EF" w:rsidRDefault="00E911EF" w:rsidP="00E911EF">
      <w:pPr>
        <w:pStyle w:val="00Center"/>
      </w:pPr>
      <w:r>
        <w:t>$[PAR A]</w:t>
      </w:r>
      <w:r w:rsidRPr="006410FC">
        <w:br/>
        <w:t xml:space="preserve">Independent Cities Finance Authority </w:t>
      </w:r>
      <w:r w:rsidRPr="006410FC">
        <w:br/>
        <w:t xml:space="preserve">Mobile Home Park Revenue Refunding Bonds </w:t>
      </w:r>
      <w:r w:rsidRPr="006410FC">
        <w:br/>
      </w:r>
      <w:r>
        <w:t>(Augusta Communities Mobile Home Park Pool)</w:t>
      </w:r>
      <w:r w:rsidRPr="006410FC">
        <w:t xml:space="preserve"> </w:t>
      </w:r>
      <w:r>
        <w:t>Series 2022A</w:t>
      </w:r>
    </w:p>
    <w:p w:rsidR="00E911EF" w:rsidRDefault="00E911EF" w:rsidP="00E911EF">
      <w:pPr>
        <w:pStyle w:val="00BodyText5"/>
      </w:pPr>
      <w:r>
        <w:t xml:space="preserve">The undersigned, on behalf of </w:t>
      </w:r>
      <w:r w:rsidRPr="00E911EF">
        <w:t xml:space="preserve">Newcomb Williams Financial Group, Securities </w:t>
      </w:r>
      <w:r>
        <w:t xml:space="preserve">and </w:t>
      </w:r>
      <w:r w:rsidRPr="00E911EF">
        <w:t xml:space="preserve">Stinson Securities, LLC </w:t>
      </w:r>
      <w:r>
        <w:t>(“Purchaser”), hereby certify as set forth below with respect to the sale and issuance of the above-captioned obligations (the “Series A Bonds”).</w:t>
      </w:r>
    </w:p>
    <w:p w:rsidR="00E911EF" w:rsidRDefault="00E911EF" w:rsidP="00E911EF">
      <w:pPr>
        <w:pStyle w:val="00BodyText5"/>
      </w:pPr>
      <w:r>
        <w:t>1.</w:t>
      </w:r>
      <w:r>
        <w:tab/>
        <w:t>Attached as Attachment 1 is a copy of the pricing wire or similar communication used to communicate the Initial Offering Price of each Maturity to the Public.</w:t>
      </w:r>
    </w:p>
    <w:p w:rsidR="00E911EF" w:rsidRDefault="00E911EF" w:rsidP="00E911EF">
      <w:pPr>
        <w:pStyle w:val="00BodyText5"/>
      </w:pPr>
      <w:r>
        <w:t>2.</w:t>
      </w:r>
      <w:r>
        <w:tab/>
        <w:t xml:space="preserve">As of the Effective Time all the Series A Bonds were the subject of an initial offering to the Public. </w:t>
      </w:r>
    </w:p>
    <w:p w:rsidR="00E911EF" w:rsidRDefault="00E911EF" w:rsidP="00E911EF">
      <w:pPr>
        <w:pStyle w:val="00BodyText5"/>
      </w:pPr>
      <w:r>
        <w:t>3.</w:t>
      </w:r>
      <w:r>
        <w:tab/>
        <w:t xml:space="preserve">As of the Effective Time none of the Series A Bonds were sold to any person at a price higher than the Initial Offering Price for that Maturity. </w:t>
      </w:r>
    </w:p>
    <w:p w:rsidR="00E911EF" w:rsidRDefault="00E911EF" w:rsidP="00E911EF">
      <w:pPr>
        <w:pStyle w:val="00BodyText5"/>
      </w:pPr>
      <w:r>
        <w:t>4.</w:t>
      </w:r>
      <w:r>
        <w:tab/>
        <w:t xml:space="preserve">[As of the Effective Time there were no Undersold Maturities.] </w:t>
      </w:r>
    </w:p>
    <w:p w:rsidR="00E911EF" w:rsidRDefault="00E911EF" w:rsidP="00E911EF">
      <w:pPr>
        <w:pStyle w:val="00BodyText5"/>
      </w:pPr>
      <w:r>
        <w:t>5.</w:t>
      </w:r>
      <w:r>
        <w:tab/>
        <w:t>Defined Terms.</w:t>
      </w:r>
    </w:p>
    <w:p w:rsidR="00E911EF" w:rsidRDefault="00E911EF" w:rsidP="003B1E96">
      <w:pPr>
        <w:pStyle w:val="00BodyText5"/>
        <w:ind w:left="720"/>
      </w:pPr>
      <w:r>
        <w:t>a.</w:t>
      </w:r>
      <w:r>
        <w:tab/>
        <w:t>“Borrower” means Augusta Communities LLC</w:t>
      </w:r>
      <w:r w:rsidRPr="006410FC">
        <w:t xml:space="preserve">, a California </w:t>
      </w:r>
      <w:r>
        <w:t xml:space="preserve">limited liability company. </w:t>
      </w:r>
    </w:p>
    <w:p w:rsidR="00E911EF" w:rsidRDefault="00E911EF" w:rsidP="003B1E96">
      <w:pPr>
        <w:pStyle w:val="00BodyText5"/>
        <w:ind w:left="720"/>
      </w:pPr>
      <w:r>
        <w:t>b.</w:t>
      </w:r>
      <w:r>
        <w:tab/>
        <w:t xml:space="preserve">“Effective Time” means the time on the Sale Date that the agreement to purchase the Series A Bonds (the Purchase </w:t>
      </w:r>
      <w:r w:rsidR="003B1E96">
        <w:t>Contract</w:t>
      </w:r>
      <w:r>
        <w:t xml:space="preserve">) becomes enforceable. </w:t>
      </w:r>
    </w:p>
    <w:p w:rsidR="00E911EF" w:rsidRDefault="00E911EF" w:rsidP="003B1E96">
      <w:pPr>
        <w:pStyle w:val="00BodyText5"/>
        <w:ind w:left="720"/>
      </w:pPr>
      <w:r>
        <w:t>c.</w:t>
      </w:r>
      <w:r>
        <w:tab/>
        <w:t xml:space="preserve">“Initial Offering Price” means the price listed on Attachment 1 for each Maturity.  </w:t>
      </w:r>
    </w:p>
    <w:p w:rsidR="00E911EF" w:rsidRDefault="00E911EF" w:rsidP="003B1E96">
      <w:pPr>
        <w:pStyle w:val="00BodyText5"/>
        <w:ind w:left="720"/>
      </w:pPr>
      <w:r>
        <w:t>d.</w:t>
      </w:r>
      <w:r>
        <w:tab/>
        <w:t xml:space="preserve">“Issuer” means the </w:t>
      </w:r>
      <w:r w:rsidRPr="00E911EF">
        <w:t>Independent Cities Finance Authority</w:t>
      </w:r>
      <w:r>
        <w:t>.</w:t>
      </w:r>
    </w:p>
    <w:p w:rsidR="00E911EF" w:rsidRDefault="00E911EF" w:rsidP="003B1E96">
      <w:pPr>
        <w:pStyle w:val="00BodyText5"/>
        <w:ind w:left="720"/>
      </w:pPr>
      <w:r>
        <w:t>e.</w:t>
      </w:r>
      <w:r>
        <w:tab/>
        <w:t>“Maturity” means Series A Bonds with the same credit and payment terms.  Series A Bonds with different maturity dates, or Series A Bonds with the same maturity date but different stated interest rates, are treated as separate maturities.</w:t>
      </w:r>
    </w:p>
    <w:p w:rsidR="00E911EF" w:rsidRDefault="00E911EF" w:rsidP="003B1E96">
      <w:pPr>
        <w:pStyle w:val="00BodyText5"/>
        <w:ind w:left="720"/>
      </w:pPr>
      <w:r>
        <w:t>f.</w:t>
      </w:r>
      <w:r>
        <w:tab/>
        <w:t>“Public” 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w:t>
      </w:r>
      <w:r w:rsidR="003B1E96">
        <w:t>%</w:t>
      </w:r>
      <w:r>
        <w:t xml:space="preserve"> common ownership, directly or indirectly.</w:t>
      </w:r>
      <w:r w:rsidR="003B1E96">
        <w:t xml:space="preserve">  </w:t>
      </w:r>
    </w:p>
    <w:p w:rsidR="00E911EF" w:rsidRDefault="00E911EF" w:rsidP="003B1E96">
      <w:pPr>
        <w:pStyle w:val="00BodyText5"/>
        <w:ind w:left="720"/>
      </w:pPr>
      <w:r>
        <w:lastRenderedPageBreak/>
        <w:t>g.</w:t>
      </w:r>
      <w:r>
        <w:tab/>
        <w:t>“Sale Date” means the first day on which there is a binding contract in writing for the sale of a Maturity of the Series A Bonds.  The Sale Date of the Series A Bonds is [__________], 2022.</w:t>
      </w:r>
    </w:p>
    <w:p w:rsidR="00E911EF" w:rsidRDefault="00E911EF" w:rsidP="003B1E96">
      <w:pPr>
        <w:pStyle w:val="00BodyText5"/>
        <w:ind w:left="720"/>
      </w:pPr>
      <w:r>
        <w:t>h.</w:t>
      </w:r>
      <w:r>
        <w:tab/>
        <w:t>“Undersold Maturity” or “Undersold Maturities” means any Maturity for which less than 10% of the principal amount of Bonds of that Maturity have been sold.</w:t>
      </w:r>
    </w:p>
    <w:p w:rsidR="00E911EF" w:rsidRDefault="00E911EF" w:rsidP="003B1E96">
      <w:pPr>
        <w:pStyle w:val="00BodyText5"/>
        <w:ind w:left="720"/>
      </w:pPr>
      <w:r>
        <w:t>i.</w:t>
      </w:r>
      <w:r>
        <w:tab/>
        <w:t xml:space="preserve">“Underwriter” means (A) any person that agrees pursuant to a written contract with the Issuer or the Borrower (or with the lead underwriter to form an underwriting syndicate) to participate in the initial sale of the Series A Bonds to the Public, and (B) any person that agrees pursuant to a written contract directly or indirectly with a person described in clause (A) of this definition to participate in the initial sale of the Series A Bonds to the Public (including a member of a selling group or a party to a third-party distribution agreement participating in the initial sale of the Series A Bonds to the Public).  </w:t>
      </w:r>
    </w:p>
    <w:p w:rsidR="00E911EF" w:rsidRDefault="00E911EF" w:rsidP="00E911EF">
      <w:pPr>
        <w:pStyle w:val="00BodyText5"/>
      </w:pPr>
      <w:r>
        <w:t xml:space="preserve">The representations set forth in this certificate are limited to factual matters only.  Nothing in this certificate represents Purchaser’s interpretation of any laws, including specifically Sections 103 and 148 of the Internal Revenue Code of 1986, as amended, and the Treasury Regulations thereunder.  The undersigned understands that the foregoing information will be relied upon by the Issuer and the Borrower with respect to certain of the representations set forth in the Tax </w:t>
      </w:r>
      <w:r w:rsidR="003B1E96">
        <w:t xml:space="preserve">Certificate and </w:t>
      </w:r>
      <w:r>
        <w:t>Agreement and with respect to compliance with the federal income tax rules affecting the Series A Bonds, and by Gilmore &amp; Bell, P.C., Bond Counsel in connection with rendering its opinion that the interest on the Series A Bonds is excluded from gross income for federal income tax purposes, the preparation of the Internal Revenue Service Form 8038, Information Return for Tax-Exempt Private Activity Bond Issues, and other federal income tax advice that it may give to the Issuer and the Borrower from time to time relating to the Series A Bonds.</w:t>
      </w:r>
    </w:p>
    <w:p w:rsidR="00E911EF" w:rsidRPr="006410FC" w:rsidRDefault="00E911EF" w:rsidP="00E911EF">
      <w:pPr>
        <w:pStyle w:val="Signature"/>
        <w:ind w:left="4320"/>
      </w:pPr>
      <w:r w:rsidRPr="006410FC">
        <w:t>NEWCOMB WILLIAMS FINANCIAL GROUP, Securities offered through Stinson Securities, LLC</w:t>
      </w:r>
    </w:p>
    <w:p w:rsidR="00E911EF" w:rsidRPr="006410FC" w:rsidRDefault="00E911EF" w:rsidP="00E911EF">
      <w:pPr>
        <w:pStyle w:val="Signature"/>
        <w:ind w:left="4320"/>
      </w:pPr>
    </w:p>
    <w:p w:rsidR="00E911EF" w:rsidRPr="006410FC" w:rsidRDefault="00E911EF" w:rsidP="00E911EF">
      <w:pPr>
        <w:pStyle w:val="Signature"/>
        <w:ind w:left="4320"/>
      </w:pPr>
      <w:r w:rsidRPr="006410FC">
        <w:t>By:  NEWCOMB WILLIAMS FINANCIAL GROUP</w:t>
      </w:r>
    </w:p>
    <w:p w:rsidR="00E911EF" w:rsidRPr="006410FC" w:rsidRDefault="00E911EF" w:rsidP="00E911EF">
      <w:pPr>
        <w:pStyle w:val="Signature"/>
        <w:ind w:left="4320"/>
      </w:pPr>
    </w:p>
    <w:p w:rsidR="00E911EF" w:rsidRPr="006410FC" w:rsidRDefault="00E911EF" w:rsidP="00E911EF">
      <w:pPr>
        <w:pStyle w:val="Signature"/>
        <w:ind w:left="4320"/>
        <w:rPr>
          <w:u w:val="single"/>
        </w:rPr>
      </w:pPr>
      <w:r w:rsidRPr="006410FC">
        <w:rPr>
          <w:u w:val="single"/>
        </w:rPr>
        <w:tab/>
      </w:r>
    </w:p>
    <w:p w:rsidR="00E911EF" w:rsidRPr="006410FC" w:rsidRDefault="00E911EF" w:rsidP="00E911EF">
      <w:pPr>
        <w:pStyle w:val="Signature"/>
        <w:ind w:left="4320"/>
        <w:jc w:val="center"/>
      </w:pPr>
      <w:r w:rsidRPr="006410FC">
        <w:t>Pamela Newcomb, President</w:t>
      </w:r>
    </w:p>
    <w:p w:rsidR="00E911EF" w:rsidRPr="006410FC" w:rsidRDefault="00E911EF" w:rsidP="00E911EF">
      <w:pPr>
        <w:pStyle w:val="Signature"/>
        <w:ind w:left="4320"/>
        <w:jc w:val="center"/>
      </w:pPr>
    </w:p>
    <w:p w:rsidR="00E911EF" w:rsidRPr="006410FC" w:rsidRDefault="00E911EF" w:rsidP="00E911EF">
      <w:pPr>
        <w:pStyle w:val="Signature"/>
        <w:ind w:left="4320"/>
      </w:pPr>
      <w:r w:rsidRPr="006410FC">
        <w:t>By:  STINSON SECURITIES, LLC</w:t>
      </w:r>
    </w:p>
    <w:p w:rsidR="00E911EF" w:rsidRPr="006410FC" w:rsidRDefault="00E911EF" w:rsidP="00E911EF">
      <w:pPr>
        <w:pStyle w:val="Signature"/>
        <w:ind w:left="4320"/>
      </w:pPr>
    </w:p>
    <w:p w:rsidR="00E911EF" w:rsidRPr="006410FC" w:rsidRDefault="00E911EF" w:rsidP="00E911EF">
      <w:pPr>
        <w:pStyle w:val="Signature"/>
        <w:ind w:left="4320"/>
        <w:rPr>
          <w:u w:val="single"/>
        </w:rPr>
      </w:pPr>
      <w:r w:rsidRPr="006410FC">
        <w:rPr>
          <w:u w:val="single"/>
        </w:rPr>
        <w:tab/>
      </w:r>
    </w:p>
    <w:p w:rsidR="00E911EF" w:rsidRPr="006410FC" w:rsidRDefault="00E911EF" w:rsidP="00E911EF">
      <w:pPr>
        <w:pStyle w:val="Signature"/>
        <w:ind w:left="4320"/>
        <w:jc w:val="center"/>
      </w:pPr>
      <w:r w:rsidRPr="006410FC">
        <w:t>Lonnie Odom, President &amp; CEO</w:t>
      </w:r>
    </w:p>
    <w:p w:rsidR="00E911EF" w:rsidRDefault="00E911EF" w:rsidP="00E911EF">
      <w:r>
        <w:t>Dated: ___________________, 2022</w:t>
      </w:r>
    </w:p>
    <w:p w:rsidR="00E911EF" w:rsidRDefault="00E911EF" w:rsidP="00E911EF"/>
    <w:p w:rsidR="00FF18AA" w:rsidRDefault="00FF18AA">
      <w:pPr>
        <w:sectPr w:rsidR="00FF18AA" w:rsidSect="003B1E96">
          <w:footerReference w:type="default" r:id="rId20"/>
          <w:pgSz w:w="12240" w:h="15840" w:code="1"/>
          <w:pgMar w:top="1440" w:right="1440" w:bottom="1440" w:left="1440" w:header="720" w:footer="720" w:gutter="0"/>
          <w:pgNumType w:start="1"/>
          <w:cols w:space="720"/>
          <w:docGrid w:linePitch="360"/>
        </w:sectPr>
      </w:pPr>
    </w:p>
    <w:p w:rsidR="00C12620" w:rsidRDefault="00C12620" w:rsidP="00C12620">
      <w:pPr>
        <w:jc w:val="center"/>
      </w:pPr>
      <w:r>
        <w:lastRenderedPageBreak/>
        <w:t>ATTACHMENT 1 — INITIAL OFFERING PRICE DOCUMENTATION</w:t>
      </w:r>
    </w:p>
    <w:p w:rsidR="00C12620" w:rsidRDefault="00C12620" w:rsidP="00C12620">
      <w:pPr>
        <w:jc w:val="center"/>
      </w:pPr>
    </w:p>
    <w:p w:rsidR="00C12620" w:rsidRDefault="00C12620" w:rsidP="00C12620">
      <w:pPr>
        <w:jc w:val="center"/>
        <w:sectPr w:rsidR="00C12620" w:rsidSect="00C12620">
          <w:pgSz w:w="12240" w:h="15840" w:code="1"/>
          <w:pgMar w:top="1440" w:right="1440" w:bottom="1440" w:left="1440" w:header="720" w:footer="720" w:gutter="0"/>
          <w:cols w:space="720"/>
          <w:docGrid w:linePitch="360"/>
        </w:sectPr>
      </w:pPr>
      <w:r>
        <w:t>[TO BE ATTACHED]</w:t>
      </w:r>
    </w:p>
    <w:p w:rsidR="00C12620" w:rsidRDefault="00C12620" w:rsidP="00C12620">
      <w:pPr>
        <w:jc w:val="center"/>
      </w:pPr>
      <w:r>
        <w:lastRenderedPageBreak/>
        <w:t>ATTACHMENT 2 — LIST OF UNDERSOLD MATURITIES</w:t>
      </w:r>
    </w:p>
    <w:p w:rsidR="00C12620" w:rsidRDefault="00C12620" w:rsidP="00C12620">
      <w:pPr>
        <w:jc w:val="center"/>
      </w:pPr>
    </w:p>
    <w:p w:rsidR="00C12620" w:rsidRDefault="00C12620" w:rsidP="00C12620">
      <w:pPr>
        <w:jc w:val="center"/>
      </w:pPr>
      <w:r>
        <w:t>[TO BE ATTACHED]</w:t>
      </w:r>
    </w:p>
    <w:p w:rsidR="004500C2" w:rsidRPr="006410FC" w:rsidRDefault="004500C2"/>
    <w:sectPr w:rsidR="004500C2" w:rsidRPr="006410FC" w:rsidSect="00C126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8AA" w:rsidRDefault="00FF18AA">
      <w:r>
        <w:separator/>
      </w:r>
    </w:p>
  </w:endnote>
  <w:endnote w:type="continuationSeparator" w:id="0">
    <w:p w:rsidR="00FF18AA" w:rsidRDefault="00FF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90" w:rsidRDefault="00E4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3B1E96" w:rsidRDefault="00FF18AA" w:rsidP="003B1E96">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90" w:rsidRDefault="00E46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Default="00FF18AA" w:rsidP="00D443A5">
    <w:pPr>
      <w:pStyle w:val="Footer"/>
      <w:spacing w:after="120"/>
      <w:jc w:val="center"/>
      <w:rPr>
        <w:i/>
      </w:rPr>
    </w:pPr>
    <w:r w:rsidRPr="00D443A5">
      <w:rPr>
        <w:i/>
      </w:rPr>
      <w:t>(Signature Page to Purchase Contract – Montclair Parks)</w:t>
    </w:r>
  </w:p>
  <w:p w:rsidR="00FF18AA" w:rsidRPr="00D443A5" w:rsidRDefault="00FF18AA" w:rsidP="00074E08">
    <w:pPr>
      <w:pStyle w:val="Footer"/>
      <w:jc w:val="center"/>
    </w:pPr>
    <w:r>
      <w:t>S-</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3B1E96" w:rsidRDefault="00FF18AA" w:rsidP="003B1E96">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3B1E96" w:rsidRDefault="00FF18AA" w:rsidP="003B1E96">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3B1E96" w:rsidRDefault="00FF18AA" w:rsidP="003B1E96">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3B1E96" w:rsidRDefault="00FF18AA" w:rsidP="003B1E96">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C12620" w:rsidRDefault="00C12620" w:rsidP="00C12620">
    <w:pPr>
      <w:pStyle w:val="Footer"/>
      <w:rPr>
        <w:rStyle w:val="DocID"/>
        <w:rFonts w:ascii="Times New Roman" w:hAnsi="Times New Roman"/>
        <w:sz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46C90">
      <w:rPr>
        <w:rFonts w:ascii="Arial" w:hAnsi="Arial" w:cs="Arial"/>
        <w:sz w:val="16"/>
      </w:rPr>
      <w:t>4856-0691-4050, v. 3</w:t>
    </w:r>
    <w:r>
      <w:rPr>
        <w:rFonts w:ascii="Arial" w:hAnsi="Arial" w:cs="Arial"/>
        <w:sz w:val="16"/>
      </w:rPr>
      <w:fldChar w:fldCharType="end"/>
    </w:r>
    <w:r>
      <w:rPr>
        <w:rStyle w:val="DocID"/>
      </w:rPr>
      <w:tab/>
    </w:r>
    <w:r>
      <w:rPr>
        <w:rStyle w:val="PageNumber"/>
      </w:rPr>
      <w:t>E-</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8AA" w:rsidRDefault="00FF18AA">
      <w:r>
        <w:separator/>
      </w:r>
    </w:p>
  </w:footnote>
  <w:footnote w:type="continuationSeparator" w:id="0">
    <w:p w:rsidR="00FF18AA" w:rsidRDefault="00FF18AA">
      <w:r>
        <w:continuationSeparator/>
      </w:r>
    </w:p>
  </w:footnote>
  <w:footnote w:id="1">
    <w:p w:rsidR="00FF18AA" w:rsidRDefault="00FF18AA" w:rsidP="008C3DD3">
      <w:pPr>
        <w:pStyle w:val="FootnoteText"/>
        <w:tabs>
          <w:tab w:val="left" w:pos="180"/>
        </w:tabs>
        <w:ind w:left="180" w:hanging="180"/>
      </w:pPr>
      <w:r>
        <w:rPr>
          <w:rStyle w:val="FootnoteReference"/>
        </w:rPr>
        <w:footnoteRef/>
      </w:r>
      <w:r>
        <w:t xml:space="preserve"> </w:t>
      </w:r>
      <w:r>
        <w:tab/>
      </w:r>
      <w:r w:rsidRPr="00142B84">
        <w:rPr>
          <w:sz w:val="20"/>
        </w:rPr>
        <w:t xml:space="preserve">CUSIP is a registered trademark of the American Bankers Association.  CUSIP Global Services operates the CUSIP system on behalf of the American Bankers Association and the Market Intelligence division of S&amp;P Global.  CUSIP data herein are provided for convenience of reference only.  Neither the Authority nor the Underwriter assumes any responsibility for the accuracy of these CUSIP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90" w:rsidRDefault="00E46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90" w:rsidRDefault="00E46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E738E7" w:rsidRDefault="00FF18AA" w:rsidP="00FF18AA">
    <w:pPr>
      <w:pStyle w:val="Header"/>
      <w:jc w:val="right"/>
      <w:rPr>
        <w:b/>
        <w:i/>
      </w:rPr>
    </w:pPr>
    <w:r w:rsidRPr="00E738E7">
      <w:rPr>
        <w:b/>
        <w:i/>
      </w:rPr>
      <w:t>Gilmore &amp; Bell</w:t>
    </w:r>
  </w:p>
  <w:p w:rsidR="00FF18AA" w:rsidRDefault="00FF18AA" w:rsidP="00FF18AA">
    <w:pPr>
      <w:pStyle w:val="Header"/>
      <w:jc w:val="right"/>
    </w:pPr>
    <w:r w:rsidRPr="00E738E7">
      <w:rPr>
        <w:b/>
        <w:i/>
      </w:rPr>
      <w:t xml:space="preserve">DRAFT </w:t>
    </w:r>
    <w:r>
      <w:rPr>
        <w:b/>
        <w:i/>
      </w:rPr>
      <w:t>0</w:t>
    </w:r>
    <w:r w:rsidR="00403635">
      <w:rPr>
        <w:b/>
        <w:i/>
      </w:rPr>
      <w:t>3</w:t>
    </w:r>
    <w:r w:rsidRPr="00E738E7">
      <w:rPr>
        <w:b/>
        <w:i/>
      </w:rPr>
      <w:t>/</w:t>
    </w:r>
    <w:r w:rsidR="00403635">
      <w:rPr>
        <w:b/>
        <w:i/>
      </w:rPr>
      <w:t>31</w:t>
    </w:r>
    <w:r w:rsidRPr="00E738E7">
      <w:rPr>
        <w:b/>
        <w:i/>
      </w:rPr>
      <w:t>/20</w:t>
    </w:r>
    <w:r>
      <w:rPr>
        <w:b/>
        <w:i/>
      </w:rPr>
      <w:t>22</w:t>
    </w:r>
  </w:p>
  <w:p w:rsidR="00FF18AA" w:rsidRDefault="00FF1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8AA" w:rsidRPr="00566DC5" w:rsidRDefault="00FF18AA" w:rsidP="0056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02A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5CE5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8446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B4ED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2257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1C0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FC3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54F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E648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1A40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0809"/>
    <w:multiLevelType w:val="multilevel"/>
    <w:tmpl w:val="E5BAB620"/>
    <w:lvl w:ilvl="0">
      <w:start w:val="1"/>
      <w:numFmt w:val="decimal"/>
      <w:lvlText w:val="%1."/>
      <w:lvlJc w:val="left"/>
      <w:pPr>
        <w:tabs>
          <w:tab w:val="num" w:pos="1440"/>
        </w:tabs>
        <w:ind w:left="0" w:firstLine="720"/>
      </w:pPr>
      <w:rPr>
        <w:rFonts w:hint="default"/>
        <w:caps w:val="0"/>
        <w:color w:val="010000"/>
        <w:u w:val="none"/>
      </w:rPr>
    </w:lvl>
    <w:lvl w:ilvl="1">
      <w:start w:val="1"/>
      <w:numFmt w:val="lowerLetter"/>
      <w:lvlText w:val="(%2)"/>
      <w:lvlJc w:val="left"/>
      <w:pPr>
        <w:tabs>
          <w:tab w:val="num" w:pos="2160"/>
        </w:tabs>
        <w:ind w:left="0" w:firstLine="1440"/>
      </w:pPr>
      <w:rPr>
        <w:rFonts w:hint="default"/>
        <w:caps w:val="0"/>
        <w:color w:val="010000"/>
        <w:u w:val="none"/>
      </w:rPr>
    </w:lvl>
    <w:lvl w:ilvl="2">
      <w:start w:val="1"/>
      <w:numFmt w:val="lowerRoman"/>
      <w:lvlText w:val="(%3)"/>
      <w:lvlJc w:val="left"/>
      <w:pPr>
        <w:tabs>
          <w:tab w:val="num" w:pos="3600"/>
        </w:tabs>
        <w:ind w:left="0" w:firstLine="2880"/>
      </w:pPr>
      <w:rPr>
        <w:rFonts w:hint="default"/>
        <w:caps w:val="0"/>
        <w:color w:val="010000"/>
        <w:u w:val="none"/>
      </w:rPr>
    </w:lvl>
    <w:lvl w:ilvl="3">
      <w:start w:val="1"/>
      <w:numFmt w:val="decimal"/>
      <w:lvlText w:val="(%4)"/>
      <w:lvlJc w:val="left"/>
      <w:pPr>
        <w:tabs>
          <w:tab w:val="num" w:pos="4320"/>
        </w:tabs>
        <w:ind w:left="0" w:firstLine="3600"/>
      </w:pPr>
      <w:rPr>
        <w:rFonts w:hint="default"/>
        <w:caps w:val="0"/>
        <w:color w:val="010000"/>
        <w:u w:val="none"/>
      </w:rPr>
    </w:lvl>
    <w:lvl w:ilvl="4">
      <w:start w:val="1"/>
      <w:numFmt w:val="lowerLetter"/>
      <w:lvlText w:val="%5."/>
      <w:lvlJc w:val="left"/>
      <w:pPr>
        <w:tabs>
          <w:tab w:val="num" w:pos="5040"/>
        </w:tabs>
        <w:ind w:left="0" w:firstLine="4320"/>
      </w:pPr>
      <w:rPr>
        <w:rFonts w:hint="default"/>
        <w:caps w:val="0"/>
        <w:color w:val="010000"/>
        <w:u w:val="none"/>
      </w:rPr>
    </w:lvl>
    <w:lvl w:ilvl="5">
      <w:start w:val="1"/>
      <w:numFmt w:val="lowerRoman"/>
      <w:lvlText w:val="%6."/>
      <w:lvlJc w:val="left"/>
      <w:pPr>
        <w:tabs>
          <w:tab w:val="num" w:pos="5760"/>
        </w:tabs>
        <w:ind w:left="0" w:firstLine="5040"/>
      </w:pPr>
      <w:rPr>
        <w:rFonts w:hint="default"/>
        <w:caps w:val="0"/>
        <w:color w:val="010000"/>
        <w:u w:val="none"/>
      </w:rPr>
    </w:lvl>
    <w:lvl w:ilvl="6">
      <w:start w:val="1"/>
      <w:numFmt w:val="decimal"/>
      <w:lvlText w:val="%7)"/>
      <w:lvlJc w:val="left"/>
      <w:pPr>
        <w:tabs>
          <w:tab w:val="num" w:pos="6480"/>
        </w:tabs>
        <w:ind w:left="0" w:firstLine="5760"/>
      </w:pPr>
      <w:rPr>
        <w:rFonts w:hint="default"/>
        <w:caps w:val="0"/>
        <w:color w:val="010000"/>
        <w:u w:val="none"/>
      </w:rPr>
    </w:lvl>
    <w:lvl w:ilvl="7">
      <w:start w:val="1"/>
      <w:numFmt w:val="lowerLetter"/>
      <w:lvlText w:val="%8)"/>
      <w:lvlJc w:val="left"/>
      <w:pPr>
        <w:tabs>
          <w:tab w:val="num" w:pos="7200"/>
        </w:tabs>
        <w:ind w:left="0" w:firstLine="6480"/>
      </w:pPr>
      <w:rPr>
        <w:rFonts w:hint="default"/>
        <w:caps w:val="0"/>
        <w:color w:val="010000"/>
        <w:u w:val="none"/>
      </w:rPr>
    </w:lvl>
    <w:lvl w:ilvl="8">
      <w:start w:val="1"/>
      <w:numFmt w:val="lowerRoman"/>
      <w:lvlText w:val="%9)"/>
      <w:lvlJc w:val="left"/>
      <w:pPr>
        <w:tabs>
          <w:tab w:val="num" w:pos="7920"/>
        </w:tabs>
        <w:ind w:left="0" w:firstLine="7200"/>
      </w:pPr>
      <w:rPr>
        <w:rFonts w:hint="default"/>
        <w:caps w:val="0"/>
        <w:color w:val="010000"/>
        <w:u w:val="none"/>
      </w:rPr>
    </w:lvl>
  </w:abstractNum>
  <w:abstractNum w:abstractNumId="11" w15:restartNumberingAfterBreak="0">
    <w:nsid w:val="079D3BE6"/>
    <w:multiLevelType w:val="multilevel"/>
    <w:tmpl w:val="E5BAB620"/>
    <w:lvl w:ilvl="0">
      <w:start w:val="1"/>
      <w:numFmt w:val="decimal"/>
      <w:lvlText w:val="%1."/>
      <w:lvlJc w:val="left"/>
      <w:pPr>
        <w:tabs>
          <w:tab w:val="num" w:pos="1440"/>
        </w:tabs>
        <w:ind w:left="0" w:firstLine="720"/>
      </w:pPr>
      <w:rPr>
        <w:rFonts w:hint="default"/>
        <w:caps w:val="0"/>
        <w:color w:val="010000"/>
        <w:u w:val="none"/>
      </w:rPr>
    </w:lvl>
    <w:lvl w:ilvl="1">
      <w:start w:val="1"/>
      <w:numFmt w:val="lowerLetter"/>
      <w:lvlText w:val="(%2)"/>
      <w:lvlJc w:val="left"/>
      <w:pPr>
        <w:tabs>
          <w:tab w:val="num" w:pos="2160"/>
        </w:tabs>
        <w:ind w:left="0" w:firstLine="1440"/>
      </w:pPr>
      <w:rPr>
        <w:rFonts w:hint="default"/>
        <w:caps w:val="0"/>
        <w:color w:val="010000"/>
        <w:u w:val="none"/>
      </w:rPr>
    </w:lvl>
    <w:lvl w:ilvl="2">
      <w:start w:val="1"/>
      <w:numFmt w:val="lowerRoman"/>
      <w:lvlText w:val="(%3)"/>
      <w:lvlJc w:val="left"/>
      <w:pPr>
        <w:tabs>
          <w:tab w:val="num" w:pos="3600"/>
        </w:tabs>
        <w:ind w:left="0" w:firstLine="2880"/>
      </w:pPr>
      <w:rPr>
        <w:rFonts w:hint="default"/>
        <w:caps w:val="0"/>
        <w:color w:val="010000"/>
        <w:u w:val="none"/>
      </w:rPr>
    </w:lvl>
    <w:lvl w:ilvl="3">
      <w:start w:val="1"/>
      <w:numFmt w:val="decimal"/>
      <w:lvlText w:val="(%4)"/>
      <w:lvlJc w:val="left"/>
      <w:pPr>
        <w:tabs>
          <w:tab w:val="num" w:pos="4320"/>
        </w:tabs>
        <w:ind w:left="0" w:firstLine="3600"/>
      </w:pPr>
      <w:rPr>
        <w:rFonts w:hint="default"/>
        <w:caps w:val="0"/>
        <w:color w:val="010000"/>
        <w:u w:val="none"/>
      </w:rPr>
    </w:lvl>
    <w:lvl w:ilvl="4">
      <w:start w:val="1"/>
      <w:numFmt w:val="lowerLetter"/>
      <w:lvlText w:val="%5."/>
      <w:lvlJc w:val="left"/>
      <w:pPr>
        <w:tabs>
          <w:tab w:val="num" w:pos="5040"/>
        </w:tabs>
        <w:ind w:left="0" w:firstLine="4320"/>
      </w:pPr>
      <w:rPr>
        <w:rFonts w:hint="default"/>
        <w:caps w:val="0"/>
        <w:color w:val="010000"/>
        <w:u w:val="none"/>
      </w:rPr>
    </w:lvl>
    <w:lvl w:ilvl="5">
      <w:start w:val="1"/>
      <w:numFmt w:val="lowerRoman"/>
      <w:lvlText w:val="%6."/>
      <w:lvlJc w:val="left"/>
      <w:pPr>
        <w:tabs>
          <w:tab w:val="num" w:pos="5760"/>
        </w:tabs>
        <w:ind w:left="0" w:firstLine="5040"/>
      </w:pPr>
      <w:rPr>
        <w:rFonts w:hint="default"/>
        <w:caps w:val="0"/>
        <w:color w:val="010000"/>
        <w:u w:val="none"/>
      </w:rPr>
    </w:lvl>
    <w:lvl w:ilvl="6">
      <w:start w:val="1"/>
      <w:numFmt w:val="decimal"/>
      <w:lvlText w:val="%7)"/>
      <w:lvlJc w:val="left"/>
      <w:pPr>
        <w:tabs>
          <w:tab w:val="num" w:pos="6480"/>
        </w:tabs>
        <w:ind w:left="0" w:firstLine="5760"/>
      </w:pPr>
      <w:rPr>
        <w:rFonts w:hint="default"/>
        <w:caps w:val="0"/>
        <w:color w:val="010000"/>
        <w:u w:val="none"/>
      </w:rPr>
    </w:lvl>
    <w:lvl w:ilvl="7">
      <w:start w:val="1"/>
      <w:numFmt w:val="lowerLetter"/>
      <w:lvlText w:val="%8)"/>
      <w:lvlJc w:val="left"/>
      <w:pPr>
        <w:tabs>
          <w:tab w:val="num" w:pos="7200"/>
        </w:tabs>
        <w:ind w:left="0" w:firstLine="6480"/>
      </w:pPr>
      <w:rPr>
        <w:rFonts w:hint="default"/>
        <w:caps w:val="0"/>
        <w:color w:val="010000"/>
        <w:u w:val="none"/>
      </w:rPr>
    </w:lvl>
    <w:lvl w:ilvl="8">
      <w:start w:val="1"/>
      <w:numFmt w:val="lowerRoman"/>
      <w:lvlText w:val="%9)"/>
      <w:lvlJc w:val="left"/>
      <w:pPr>
        <w:tabs>
          <w:tab w:val="num" w:pos="7920"/>
        </w:tabs>
        <w:ind w:left="0" w:firstLine="7200"/>
      </w:pPr>
      <w:rPr>
        <w:rFonts w:hint="default"/>
        <w:caps w:val="0"/>
        <w:color w:val="010000"/>
        <w:u w:val="none"/>
      </w:rPr>
    </w:lvl>
  </w:abstractNum>
  <w:abstractNum w:abstractNumId="12" w15:restartNumberingAfterBreak="0">
    <w:nsid w:val="0A173EE7"/>
    <w:multiLevelType w:val="hybridMultilevel"/>
    <w:tmpl w:val="3E20C0A8"/>
    <w:lvl w:ilvl="0" w:tplc="D9CAD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176A7"/>
    <w:multiLevelType w:val="multilevel"/>
    <w:tmpl w:val="190ADB40"/>
    <w:lvl w:ilvl="0">
      <w:start w:val="1"/>
      <w:numFmt w:val="decimal"/>
      <w:lvlText w:val="%1."/>
      <w:lvlJc w:val="left"/>
      <w:pPr>
        <w:tabs>
          <w:tab w:val="num" w:pos="2160"/>
        </w:tabs>
        <w:ind w:left="0" w:firstLine="1440"/>
      </w:pPr>
      <w:rPr>
        <w:caps w:val="0"/>
        <w:color w:val="010000"/>
        <w:u w:val="none"/>
      </w:rPr>
    </w:lvl>
    <w:lvl w:ilvl="1">
      <w:start w:val="1"/>
      <w:numFmt w:val="lowerLetter"/>
      <w:lvlText w:val="(%2)"/>
      <w:lvlJc w:val="left"/>
      <w:pPr>
        <w:tabs>
          <w:tab w:val="num" w:pos="2880"/>
        </w:tabs>
        <w:ind w:left="0" w:firstLine="2160"/>
      </w:pPr>
      <w:rPr>
        <w:caps w:val="0"/>
        <w:color w:val="010000"/>
        <w:u w:val="none"/>
      </w:rPr>
    </w:lvl>
    <w:lvl w:ilvl="2">
      <w:start w:val="1"/>
      <w:numFmt w:val="lowerRoman"/>
      <w:lvlText w:val="(%3)"/>
      <w:lvlJc w:val="left"/>
      <w:pPr>
        <w:tabs>
          <w:tab w:val="num" w:pos="3600"/>
        </w:tabs>
        <w:ind w:left="0" w:firstLine="2880"/>
      </w:pPr>
      <w:rPr>
        <w:caps w:val="0"/>
        <w:color w:val="010000"/>
        <w:u w:val="none"/>
      </w:rPr>
    </w:lvl>
    <w:lvl w:ilvl="3">
      <w:start w:val="1"/>
      <w:numFmt w:val="decimal"/>
      <w:lvlText w:val="(%4)"/>
      <w:lvlJc w:val="left"/>
      <w:pPr>
        <w:tabs>
          <w:tab w:val="num" w:pos="4320"/>
        </w:tabs>
        <w:ind w:left="0" w:firstLine="3600"/>
      </w:pPr>
      <w:rPr>
        <w:caps w:val="0"/>
        <w:color w:val="010000"/>
        <w:u w:val="none"/>
      </w:rPr>
    </w:lvl>
    <w:lvl w:ilvl="4">
      <w:start w:val="1"/>
      <w:numFmt w:val="lowerLetter"/>
      <w:lvlText w:val="%5."/>
      <w:lvlJc w:val="left"/>
      <w:pPr>
        <w:tabs>
          <w:tab w:val="num" w:pos="5040"/>
        </w:tabs>
        <w:ind w:left="0" w:firstLine="4320"/>
      </w:pPr>
      <w:rPr>
        <w:caps w:val="0"/>
        <w:color w:val="010000"/>
        <w:u w:val="none"/>
      </w:rPr>
    </w:lvl>
    <w:lvl w:ilvl="5">
      <w:start w:val="1"/>
      <w:numFmt w:val="lowerRoman"/>
      <w:lvlText w:val="%6."/>
      <w:lvlJc w:val="left"/>
      <w:pPr>
        <w:tabs>
          <w:tab w:val="num" w:pos="5760"/>
        </w:tabs>
        <w:ind w:left="0" w:firstLine="5040"/>
      </w:pPr>
      <w:rPr>
        <w:caps w:val="0"/>
        <w:color w:val="010000"/>
        <w:u w:val="none"/>
      </w:rPr>
    </w:lvl>
    <w:lvl w:ilvl="6">
      <w:start w:val="1"/>
      <w:numFmt w:val="decimal"/>
      <w:lvlText w:val="%7)"/>
      <w:lvlJc w:val="left"/>
      <w:pPr>
        <w:tabs>
          <w:tab w:val="num" w:pos="6480"/>
        </w:tabs>
        <w:ind w:left="0" w:firstLine="5760"/>
      </w:pPr>
      <w:rPr>
        <w:caps w:val="0"/>
        <w:color w:val="010000"/>
        <w:u w:val="none"/>
      </w:rPr>
    </w:lvl>
    <w:lvl w:ilvl="7">
      <w:start w:val="1"/>
      <w:numFmt w:val="lowerLetter"/>
      <w:lvlText w:val="%8)"/>
      <w:lvlJc w:val="left"/>
      <w:pPr>
        <w:tabs>
          <w:tab w:val="num" w:pos="7200"/>
        </w:tabs>
        <w:ind w:left="0" w:firstLine="6480"/>
      </w:pPr>
      <w:rPr>
        <w:caps w:val="0"/>
        <w:color w:val="010000"/>
        <w:u w:val="none"/>
      </w:rPr>
    </w:lvl>
    <w:lvl w:ilvl="8">
      <w:start w:val="1"/>
      <w:numFmt w:val="lowerRoman"/>
      <w:lvlText w:val="%9)"/>
      <w:lvlJc w:val="left"/>
      <w:pPr>
        <w:tabs>
          <w:tab w:val="num" w:pos="7920"/>
        </w:tabs>
        <w:ind w:left="0" w:firstLine="7200"/>
      </w:pPr>
      <w:rPr>
        <w:caps w:val="0"/>
        <w:color w:val="010000"/>
        <w:u w:val="none"/>
      </w:rPr>
    </w:lvl>
  </w:abstractNum>
  <w:abstractNum w:abstractNumId="15" w15:restartNumberingAfterBreak="0">
    <w:nsid w:val="1D8E1A09"/>
    <w:multiLevelType w:val="hybridMultilevel"/>
    <w:tmpl w:val="1F1608DA"/>
    <w:lvl w:ilvl="0" w:tplc="737E1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C3372"/>
    <w:multiLevelType w:val="multilevel"/>
    <w:tmpl w:val="8830151A"/>
    <w:lvl w:ilvl="0">
      <w:start w:val="1"/>
      <w:numFmt w:val="decimal"/>
      <w:lvlText w:val="%1."/>
      <w:lvlJc w:val="left"/>
      <w:pPr>
        <w:tabs>
          <w:tab w:val="num" w:pos="1440"/>
        </w:tabs>
        <w:ind w:left="0" w:firstLine="720"/>
      </w:pPr>
      <w:rPr>
        <w:rFonts w:hint="default"/>
        <w:caps w:val="0"/>
        <w:color w:val="010000"/>
        <w:u w:val="none"/>
      </w:rPr>
    </w:lvl>
    <w:lvl w:ilvl="1">
      <w:start w:val="1"/>
      <w:numFmt w:val="lowerLetter"/>
      <w:lvlText w:val="(%2)"/>
      <w:lvlJc w:val="left"/>
      <w:pPr>
        <w:tabs>
          <w:tab w:val="num" w:pos="2160"/>
        </w:tabs>
        <w:ind w:left="0" w:firstLine="1440"/>
      </w:pPr>
      <w:rPr>
        <w:rFonts w:hint="default"/>
        <w:caps w:val="0"/>
        <w:color w:val="010000"/>
        <w:u w:val="none"/>
      </w:rPr>
    </w:lvl>
    <w:lvl w:ilvl="2">
      <w:start w:val="1"/>
      <w:numFmt w:val="decimal"/>
      <w:lvlText w:val="(%3)"/>
      <w:lvlJc w:val="left"/>
      <w:pPr>
        <w:tabs>
          <w:tab w:val="num" w:pos="2880"/>
        </w:tabs>
        <w:ind w:left="1440" w:firstLine="720"/>
      </w:pPr>
      <w:rPr>
        <w:rFonts w:hint="default"/>
        <w:caps w:val="0"/>
        <w:color w:val="010000"/>
        <w:u w:val="none"/>
      </w:rPr>
    </w:lvl>
    <w:lvl w:ilvl="3">
      <w:start w:val="1"/>
      <w:numFmt w:val="decimal"/>
      <w:lvlText w:val="(%4)"/>
      <w:lvlJc w:val="left"/>
      <w:pPr>
        <w:tabs>
          <w:tab w:val="num" w:pos="4320"/>
        </w:tabs>
        <w:ind w:left="0" w:firstLine="3600"/>
      </w:pPr>
      <w:rPr>
        <w:rFonts w:hint="default"/>
        <w:caps w:val="0"/>
        <w:color w:val="010000"/>
        <w:u w:val="none"/>
      </w:rPr>
    </w:lvl>
    <w:lvl w:ilvl="4">
      <w:start w:val="1"/>
      <w:numFmt w:val="lowerLetter"/>
      <w:lvlText w:val="%5."/>
      <w:lvlJc w:val="left"/>
      <w:pPr>
        <w:tabs>
          <w:tab w:val="num" w:pos="5040"/>
        </w:tabs>
        <w:ind w:left="0" w:firstLine="4320"/>
      </w:pPr>
      <w:rPr>
        <w:rFonts w:hint="default"/>
        <w:caps w:val="0"/>
        <w:color w:val="010000"/>
        <w:u w:val="none"/>
      </w:rPr>
    </w:lvl>
    <w:lvl w:ilvl="5">
      <w:start w:val="1"/>
      <w:numFmt w:val="lowerRoman"/>
      <w:lvlText w:val="%6."/>
      <w:lvlJc w:val="left"/>
      <w:pPr>
        <w:tabs>
          <w:tab w:val="num" w:pos="5760"/>
        </w:tabs>
        <w:ind w:left="0" w:firstLine="5040"/>
      </w:pPr>
      <w:rPr>
        <w:rFonts w:hint="default"/>
        <w:caps w:val="0"/>
        <w:color w:val="010000"/>
        <w:u w:val="none"/>
      </w:rPr>
    </w:lvl>
    <w:lvl w:ilvl="6">
      <w:start w:val="1"/>
      <w:numFmt w:val="decimal"/>
      <w:lvlText w:val="%7)"/>
      <w:lvlJc w:val="left"/>
      <w:pPr>
        <w:tabs>
          <w:tab w:val="num" w:pos="6480"/>
        </w:tabs>
        <w:ind w:left="0" w:firstLine="5760"/>
      </w:pPr>
      <w:rPr>
        <w:rFonts w:hint="default"/>
        <w:caps w:val="0"/>
        <w:color w:val="010000"/>
        <w:u w:val="none"/>
      </w:rPr>
    </w:lvl>
    <w:lvl w:ilvl="7">
      <w:start w:val="1"/>
      <w:numFmt w:val="lowerLetter"/>
      <w:lvlText w:val="%8)"/>
      <w:lvlJc w:val="left"/>
      <w:pPr>
        <w:tabs>
          <w:tab w:val="num" w:pos="7200"/>
        </w:tabs>
        <w:ind w:left="0" w:firstLine="6480"/>
      </w:pPr>
      <w:rPr>
        <w:rFonts w:hint="default"/>
        <w:caps w:val="0"/>
        <w:color w:val="010000"/>
        <w:u w:val="none"/>
      </w:rPr>
    </w:lvl>
    <w:lvl w:ilvl="8">
      <w:start w:val="1"/>
      <w:numFmt w:val="lowerRoman"/>
      <w:lvlText w:val="%9)"/>
      <w:lvlJc w:val="left"/>
      <w:pPr>
        <w:tabs>
          <w:tab w:val="num" w:pos="7920"/>
        </w:tabs>
        <w:ind w:left="0" w:firstLine="7200"/>
      </w:pPr>
      <w:rPr>
        <w:rFonts w:hint="default"/>
        <w:caps w:val="0"/>
        <w:color w:val="010000"/>
        <w:u w:val="none"/>
      </w:rPr>
    </w:lvl>
  </w:abstractNum>
  <w:abstractNum w:abstractNumId="17"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17A9F"/>
    <w:multiLevelType w:val="multilevel"/>
    <w:tmpl w:val="B732A2A0"/>
    <w:name w:val="Ballard Spahr Scheme 1"/>
    <w:lvl w:ilvl="0">
      <w:start w:val="1"/>
      <w:numFmt w:val="decimal"/>
      <w:pStyle w:val="Heading1"/>
      <w:lvlText w:val="%1."/>
      <w:lvlJc w:val="left"/>
      <w:pPr>
        <w:tabs>
          <w:tab w:val="num" w:pos="1440"/>
        </w:tabs>
        <w:ind w:left="0" w:firstLine="720"/>
      </w:pPr>
      <w:rPr>
        <w:rFonts w:hint="default"/>
        <w:caps w:val="0"/>
        <w:color w:val="01000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decimal"/>
      <w:pStyle w:val="Heading3"/>
      <w:lvlText w:val="(%3)"/>
      <w:lvlJc w:val="left"/>
      <w:pPr>
        <w:tabs>
          <w:tab w:val="num" w:pos="2880"/>
        </w:tabs>
        <w:ind w:left="1440" w:firstLine="720"/>
      </w:pPr>
      <w:rPr>
        <w:rFonts w:hint="default"/>
        <w:caps w:val="0"/>
        <w:color w:val="010000"/>
        <w:u w:val="none"/>
      </w:rPr>
    </w:lvl>
    <w:lvl w:ilvl="3">
      <w:start w:val="1"/>
      <w:numFmt w:val="lowerRoman"/>
      <w:pStyle w:val="Heading4"/>
      <w:lvlText w:val="(%4)"/>
      <w:lvlJc w:val="left"/>
      <w:pPr>
        <w:tabs>
          <w:tab w:val="num" w:pos="3600"/>
        </w:tabs>
        <w:ind w:left="2160" w:firstLine="720"/>
      </w:pPr>
      <w:rPr>
        <w:rFonts w:hint="default"/>
        <w:caps w:val="0"/>
        <w:color w:val="010000"/>
        <w:u w:val="none"/>
      </w:rPr>
    </w:lvl>
    <w:lvl w:ilvl="4">
      <w:start w:val="1"/>
      <w:numFmt w:val="lowerLetter"/>
      <w:pStyle w:val="Heading5"/>
      <w:lvlText w:val="%5."/>
      <w:lvlJc w:val="left"/>
      <w:pPr>
        <w:tabs>
          <w:tab w:val="num" w:pos="5040"/>
        </w:tabs>
        <w:ind w:left="0" w:firstLine="4320"/>
      </w:pPr>
      <w:rPr>
        <w:rFonts w:hint="default"/>
        <w:caps w:val="0"/>
        <w:color w:val="010000"/>
        <w:u w:val="none"/>
      </w:rPr>
    </w:lvl>
    <w:lvl w:ilvl="5">
      <w:start w:val="1"/>
      <w:numFmt w:val="lowerRoman"/>
      <w:pStyle w:val="Heading6"/>
      <w:lvlText w:val="%6."/>
      <w:lvlJc w:val="left"/>
      <w:pPr>
        <w:tabs>
          <w:tab w:val="num" w:pos="5760"/>
        </w:tabs>
        <w:ind w:left="0" w:firstLine="5040"/>
      </w:pPr>
      <w:rPr>
        <w:rFonts w:hint="default"/>
        <w:caps w:val="0"/>
        <w:color w:val="010000"/>
        <w:u w:val="none"/>
      </w:rPr>
    </w:lvl>
    <w:lvl w:ilvl="6">
      <w:start w:val="1"/>
      <w:numFmt w:val="decimal"/>
      <w:pStyle w:val="Heading7"/>
      <w:lvlText w:val="%7)"/>
      <w:lvlJc w:val="left"/>
      <w:pPr>
        <w:tabs>
          <w:tab w:val="num" w:pos="6480"/>
        </w:tabs>
        <w:ind w:left="0" w:firstLine="5760"/>
      </w:pPr>
      <w:rPr>
        <w:rFonts w:hint="default"/>
        <w:caps w:val="0"/>
        <w:color w:val="010000"/>
        <w:u w:val="none"/>
      </w:rPr>
    </w:lvl>
    <w:lvl w:ilvl="7">
      <w:start w:val="1"/>
      <w:numFmt w:val="lowerLetter"/>
      <w:pStyle w:val="Heading8"/>
      <w:lvlText w:val="%8)"/>
      <w:lvlJc w:val="left"/>
      <w:pPr>
        <w:tabs>
          <w:tab w:val="num" w:pos="7200"/>
        </w:tabs>
        <w:ind w:left="0" w:firstLine="6480"/>
      </w:pPr>
      <w:rPr>
        <w:rFonts w:hint="default"/>
        <w:caps w:val="0"/>
        <w:color w:val="010000"/>
        <w:u w:val="none"/>
      </w:rPr>
    </w:lvl>
    <w:lvl w:ilvl="8">
      <w:start w:val="1"/>
      <w:numFmt w:val="lowerRoman"/>
      <w:pStyle w:val="Heading9"/>
      <w:lvlText w:val="%9)"/>
      <w:lvlJc w:val="left"/>
      <w:pPr>
        <w:tabs>
          <w:tab w:val="num" w:pos="7920"/>
        </w:tabs>
        <w:ind w:left="0" w:firstLine="7200"/>
      </w:pPr>
      <w:rPr>
        <w:rFonts w:hint="default"/>
        <w:caps w:val="0"/>
        <w:color w:val="010000"/>
        <w:u w:val="none"/>
      </w:rPr>
    </w:lvl>
  </w:abstractNum>
  <w:abstractNum w:abstractNumId="21"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abstractNum w:abstractNumId="22" w15:restartNumberingAfterBreak="0">
    <w:nsid w:val="79003AA4"/>
    <w:multiLevelType w:val="multilevel"/>
    <w:tmpl w:val="7D3831FE"/>
    <w:lvl w:ilvl="0">
      <w:start w:val="1"/>
      <w:numFmt w:val="decimal"/>
      <w:lvlText w:val="%1."/>
      <w:lvlJc w:val="left"/>
      <w:pPr>
        <w:tabs>
          <w:tab w:val="num" w:pos="1440"/>
        </w:tabs>
        <w:ind w:left="0" w:firstLine="720"/>
      </w:pPr>
      <w:rPr>
        <w:rFonts w:hint="default"/>
        <w:caps w:val="0"/>
        <w:color w:val="010000"/>
        <w:u w:val="none"/>
      </w:rPr>
    </w:lvl>
    <w:lvl w:ilvl="1">
      <w:start w:val="1"/>
      <w:numFmt w:val="lowerLetter"/>
      <w:lvlText w:val="(%2)"/>
      <w:lvlJc w:val="left"/>
      <w:pPr>
        <w:tabs>
          <w:tab w:val="num" w:pos="2880"/>
        </w:tabs>
        <w:ind w:left="0" w:firstLine="2160"/>
      </w:pPr>
      <w:rPr>
        <w:rFonts w:hint="default"/>
        <w:caps w:val="0"/>
        <w:color w:val="010000"/>
        <w:u w:val="none"/>
      </w:rPr>
    </w:lvl>
    <w:lvl w:ilvl="2">
      <w:start w:val="1"/>
      <w:numFmt w:val="lowerRoman"/>
      <w:lvlText w:val="(%3)"/>
      <w:lvlJc w:val="left"/>
      <w:pPr>
        <w:tabs>
          <w:tab w:val="num" w:pos="3600"/>
        </w:tabs>
        <w:ind w:left="0" w:firstLine="2880"/>
      </w:pPr>
      <w:rPr>
        <w:rFonts w:hint="default"/>
        <w:caps w:val="0"/>
        <w:color w:val="010000"/>
        <w:u w:val="none"/>
      </w:rPr>
    </w:lvl>
    <w:lvl w:ilvl="3">
      <w:start w:val="1"/>
      <w:numFmt w:val="decimal"/>
      <w:lvlText w:val="(%4)"/>
      <w:lvlJc w:val="left"/>
      <w:pPr>
        <w:tabs>
          <w:tab w:val="num" w:pos="4320"/>
        </w:tabs>
        <w:ind w:left="0" w:firstLine="3600"/>
      </w:pPr>
      <w:rPr>
        <w:rFonts w:hint="default"/>
        <w:caps w:val="0"/>
        <w:color w:val="010000"/>
        <w:u w:val="none"/>
      </w:rPr>
    </w:lvl>
    <w:lvl w:ilvl="4">
      <w:start w:val="1"/>
      <w:numFmt w:val="lowerLetter"/>
      <w:lvlText w:val="%5."/>
      <w:lvlJc w:val="left"/>
      <w:pPr>
        <w:tabs>
          <w:tab w:val="num" w:pos="5040"/>
        </w:tabs>
        <w:ind w:left="0" w:firstLine="4320"/>
      </w:pPr>
      <w:rPr>
        <w:rFonts w:hint="default"/>
        <w:caps w:val="0"/>
        <w:color w:val="010000"/>
        <w:u w:val="none"/>
      </w:rPr>
    </w:lvl>
    <w:lvl w:ilvl="5">
      <w:start w:val="1"/>
      <w:numFmt w:val="lowerRoman"/>
      <w:lvlText w:val="%6."/>
      <w:lvlJc w:val="left"/>
      <w:pPr>
        <w:tabs>
          <w:tab w:val="num" w:pos="5760"/>
        </w:tabs>
        <w:ind w:left="0" w:firstLine="5040"/>
      </w:pPr>
      <w:rPr>
        <w:rFonts w:hint="default"/>
        <w:caps w:val="0"/>
        <w:color w:val="010000"/>
        <w:u w:val="none"/>
      </w:rPr>
    </w:lvl>
    <w:lvl w:ilvl="6">
      <w:start w:val="1"/>
      <w:numFmt w:val="decimal"/>
      <w:lvlText w:val="%7)"/>
      <w:lvlJc w:val="left"/>
      <w:pPr>
        <w:tabs>
          <w:tab w:val="num" w:pos="6480"/>
        </w:tabs>
        <w:ind w:left="0" w:firstLine="5760"/>
      </w:pPr>
      <w:rPr>
        <w:rFonts w:hint="default"/>
        <w:caps w:val="0"/>
        <w:color w:val="010000"/>
        <w:u w:val="none"/>
      </w:rPr>
    </w:lvl>
    <w:lvl w:ilvl="7">
      <w:start w:val="1"/>
      <w:numFmt w:val="lowerLetter"/>
      <w:lvlText w:val="%8)"/>
      <w:lvlJc w:val="left"/>
      <w:pPr>
        <w:tabs>
          <w:tab w:val="num" w:pos="7200"/>
        </w:tabs>
        <w:ind w:left="0" w:firstLine="6480"/>
      </w:pPr>
      <w:rPr>
        <w:rFonts w:hint="default"/>
        <w:caps w:val="0"/>
        <w:color w:val="010000"/>
        <w:u w:val="none"/>
      </w:rPr>
    </w:lvl>
    <w:lvl w:ilvl="8">
      <w:start w:val="1"/>
      <w:numFmt w:val="lowerRoman"/>
      <w:lvlText w:val="%9)"/>
      <w:lvlJc w:val="left"/>
      <w:pPr>
        <w:tabs>
          <w:tab w:val="num" w:pos="7920"/>
        </w:tabs>
        <w:ind w:left="0" w:firstLine="7200"/>
      </w:pPr>
      <w:rPr>
        <w:rFonts w:hint="default"/>
        <w:caps w:val="0"/>
        <w:color w:val="010000"/>
        <w:u w:val="none"/>
      </w:rPr>
    </w:lvl>
  </w:abstractNum>
  <w:num w:numId="1">
    <w:abstractNumId w:val="17"/>
  </w:num>
  <w:num w:numId="2">
    <w:abstractNumId w:val="18"/>
  </w:num>
  <w:num w:numId="3">
    <w:abstractNumId w:val="19"/>
  </w:num>
  <w:num w:numId="4">
    <w:abstractNumId w:val="13"/>
  </w:num>
  <w:num w:numId="5">
    <w:abstractNumId w:val="17"/>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0"/>
  </w:num>
  <w:num w:numId="19">
    <w:abstractNumId w:val="14"/>
  </w:num>
  <w:num w:numId="20">
    <w:abstractNumId w:val="22"/>
  </w:num>
  <w:num w:numId="21">
    <w:abstractNumId w:val="11"/>
  </w:num>
  <w:num w:numId="22">
    <w:abstractNumId w:val="10"/>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0"/>
  </w:num>
  <w:num w:numId="30">
    <w:abstractNumId w:val="20"/>
  </w:num>
  <w:num w:numId="31">
    <w:abstractNumId w:val="20"/>
  </w:num>
  <w:num w:numId="32">
    <w:abstractNumId w:val="20"/>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efaultNumberOfLevelsInTOCForThisScheme" w:val="3"/>
    <w:docVar w:name="LastSchemeChoice" w:val="Ballard Spahr Scheme 1"/>
    <w:docVar w:name="LastSchemeUniqueID" w:val="129"/>
    <w:docVar w:name="ndGeneratedStamp" w:val="4856-0691-4050, v. 3"/>
    <w:docVar w:name="ndGeneratedStampLocation" w:val="ExceptFirst"/>
    <w:docVar w:name="Option0True" w:val="False"/>
    <w:docVar w:name="Option1True" w:val="False"/>
    <w:docVar w:name="Option2True" w:val="False"/>
    <w:docVar w:name="Option3True" w:val="False"/>
  </w:docVars>
  <w:rsids>
    <w:rsidRoot w:val="00520C93"/>
    <w:rsid w:val="000004DC"/>
    <w:rsid w:val="00000700"/>
    <w:rsid w:val="00004EEB"/>
    <w:rsid w:val="00005B37"/>
    <w:rsid w:val="00020FE4"/>
    <w:rsid w:val="00042331"/>
    <w:rsid w:val="00052B4D"/>
    <w:rsid w:val="00057312"/>
    <w:rsid w:val="0005784A"/>
    <w:rsid w:val="000649F4"/>
    <w:rsid w:val="00074E08"/>
    <w:rsid w:val="00077FBE"/>
    <w:rsid w:val="000812A6"/>
    <w:rsid w:val="0008220D"/>
    <w:rsid w:val="0008773E"/>
    <w:rsid w:val="0009443E"/>
    <w:rsid w:val="000A2161"/>
    <w:rsid w:val="000A2FBA"/>
    <w:rsid w:val="000A59A0"/>
    <w:rsid w:val="000A64DA"/>
    <w:rsid w:val="000C19D6"/>
    <w:rsid w:val="000C205E"/>
    <w:rsid w:val="000D2818"/>
    <w:rsid w:val="000D519E"/>
    <w:rsid w:val="000D52C6"/>
    <w:rsid w:val="000D78A2"/>
    <w:rsid w:val="000E0FCD"/>
    <w:rsid w:val="000E1E29"/>
    <w:rsid w:val="000E7FE3"/>
    <w:rsid w:val="000F46C0"/>
    <w:rsid w:val="000F7FE3"/>
    <w:rsid w:val="00101260"/>
    <w:rsid w:val="00107165"/>
    <w:rsid w:val="0011118D"/>
    <w:rsid w:val="00111682"/>
    <w:rsid w:val="00123DB4"/>
    <w:rsid w:val="00125EE6"/>
    <w:rsid w:val="00125FCC"/>
    <w:rsid w:val="00132490"/>
    <w:rsid w:val="00136A34"/>
    <w:rsid w:val="00140005"/>
    <w:rsid w:val="00144A38"/>
    <w:rsid w:val="0015025E"/>
    <w:rsid w:val="00160315"/>
    <w:rsid w:val="00162CF6"/>
    <w:rsid w:val="00164552"/>
    <w:rsid w:val="00170EA9"/>
    <w:rsid w:val="00177E46"/>
    <w:rsid w:val="00180301"/>
    <w:rsid w:val="001A0F50"/>
    <w:rsid w:val="001A4F43"/>
    <w:rsid w:val="001A57BE"/>
    <w:rsid w:val="001B698A"/>
    <w:rsid w:val="001B76B9"/>
    <w:rsid w:val="001C39DB"/>
    <w:rsid w:val="001E022D"/>
    <w:rsid w:val="001E1F34"/>
    <w:rsid w:val="001E40AF"/>
    <w:rsid w:val="001E436C"/>
    <w:rsid w:val="001F128A"/>
    <w:rsid w:val="001F4F24"/>
    <w:rsid w:val="0020209B"/>
    <w:rsid w:val="002054E3"/>
    <w:rsid w:val="002103DF"/>
    <w:rsid w:val="00223D8D"/>
    <w:rsid w:val="00230292"/>
    <w:rsid w:val="00230F66"/>
    <w:rsid w:val="002342CC"/>
    <w:rsid w:val="002345F1"/>
    <w:rsid w:val="00234654"/>
    <w:rsid w:val="002423FA"/>
    <w:rsid w:val="002456EC"/>
    <w:rsid w:val="00252B95"/>
    <w:rsid w:val="00253F9C"/>
    <w:rsid w:val="002564D1"/>
    <w:rsid w:val="002615DA"/>
    <w:rsid w:val="002710BA"/>
    <w:rsid w:val="0027133A"/>
    <w:rsid w:val="00291E2A"/>
    <w:rsid w:val="002A3196"/>
    <w:rsid w:val="002A5717"/>
    <w:rsid w:val="002A64E5"/>
    <w:rsid w:val="002A766E"/>
    <w:rsid w:val="002A7B43"/>
    <w:rsid w:val="002B0ED8"/>
    <w:rsid w:val="002B111F"/>
    <w:rsid w:val="002B25A9"/>
    <w:rsid w:val="002B500E"/>
    <w:rsid w:val="002B727D"/>
    <w:rsid w:val="002C2386"/>
    <w:rsid w:val="002C32F3"/>
    <w:rsid w:val="002C47CB"/>
    <w:rsid w:val="002C6691"/>
    <w:rsid w:val="002D43AA"/>
    <w:rsid w:val="002E6B9A"/>
    <w:rsid w:val="002F0549"/>
    <w:rsid w:val="00300AC5"/>
    <w:rsid w:val="003025F4"/>
    <w:rsid w:val="00306F34"/>
    <w:rsid w:val="00317414"/>
    <w:rsid w:val="00326005"/>
    <w:rsid w:val="00333BD7"/>
    <w:rsid w:val="00335DF8"/>
    <w:rsid w:val="00345831"/>
    <w:rsid w:val="00346A60"/>
    <w:rsid w:val="003470CB"/>
    <w:rsid w:val="00352D1D"/>
    <w:rsid w:val="003533D2"/>
    <w:rsid w:val="00353CC3"/>
    <w:rsid w:val="00355EA2"/>
    <w:rsid w:val="003604C1"/>
    <w:rsid w:val="00366A6F"/>
    <w:rsid w:val="00370F5A"/>
    <w:rsid w:val="00371A2D"/>
    <w:rsid w:val="00380AA4"/>
    <w:rsid w:val="00383487"/>
    <w:rsid w:val="00393929"/>
    <w:rsid w:val="00393962"/>
    <w:rsid w:val="003A6F18"/>
    <w:rsid w:val="003B01FC"/>
    <w:rsid w:val="003B1E96"/>
    <w:rsid w:val="003B62D7"/>
    <w:rsid w:val="003B78B8"/>
    <w:rsid w:val="003B7CAB"/>
    <w:rsid w:val="003C1ED5"/>
    <w:rsid w:val="003C64CC"/>
    <w:rsid w:val="003D6193"/>
    <w:rsid w:val="003E5415"/>
    <w:rsid w:val="003E6F8D"/>
    <w:rsid w:val="003F053A"/>
    <w:rsid w:val="003F1791"/>
    <w:rsid w:val="003F18F6"/>
    <w:rsid w:val="003F31B6"/>
    <w:rsid w:val="00401BEF"/>
    <w:rsid w:val="00401CAF"/>
    <w:rsid w:val="00403635"/>
    <w:rsid w:val="00404AAD"/>
    <w:rsid w:val="004161E5"/>
    <w:rsid w:val="004218BB"/>
    <w:rsid w:val="00426F65"/>
    <w:rsid w:val="004371C2"/>
    <w:rsid w:val="00443A7A"/>
    <w:rsid w:val="004500C2"/>
    <w:rsid w:val="0045058A"/>
    <w:rsid w:val="00452A58"/>
    <w:rsid w:val="00453ED3"/>
    <w:rsid w:val="004559B3"/>
    <w:rsid w:val="00460B9D"/>
    <w:rsid w:val="00461E47"/>
    <w:rsid w:val="00466E8C"/>
    <w:rsid w:val="004718C2"/>
    <w:rsid w:val="00473C37"/>
    <w:rsid w:val="00484CC3"/>
    <w:rsid w:val="00484D87"/>
    <w:rsid w:val="0048610F"/>
    <w:rsid w:val="00487CB6"/>
    <w:rsid w:val="00496689"/>
    <w:rsid w:val="0049681E"/>
    <w:rsid w:val="004A0710"/>
    <w:rsid w:val="004A3B65"/>
    <w:rsid w:val="004A5517"/>
    <w:rsid w:val="004A592F"/>
    <w:rsid w:val="004B264C"/>
    <w:rsid w:val="004C0D47"/>
    <w:rsid w:val="004C0D74"/>
    <w:rsid w:val="004D2CBF"/>
    <w:rsid w:val="004E4051"/>
    <w:rsid w:val="004F12C5"/>
    <w:rsid w:val="004F36C2"/>
    <w:rsid w:val="004F7763"/>
    <w:rsid w:val="00503736"/>
    <w:rsid w:val="005048AA"/>
    <w:rsid w:val="00520C93"/>
    <w:rsid w:val="00523E65"/>
    <w:rsid w:val="0053476A"/>
    <w:rsid w:val="00535DEA"/>
    <w:rsid w:val="00541505"/>
    <w:rsid w:val="005449AD"/>
    <w:rsid w:val="00557D72"/>
    <w:rsid w:val="00557E2A"/>
    <w:rsid w:val="0056201C"/>
    <w:rsid w:val="00562BDB"/>
    <w:rsid w:val="00566DC5"/>
    <w:rsid w:val="00580F09"/>
    <w:rsid w:val="00581044"/>
    <w:rsid w:val="00584CB3"/>
    <w:rsid w:val="005865E2"/>
    <w:rsid w:val="005875D3"/>
    <w:rsid w:val="00587748"/>
    <w:rsid w:val="0059232F"/>
    <w:rsid w:val="005938BD"/>
    <w:rsid w:val="005A075F"/>
    <w:rsid w:val="005A1E51"/>
    <w:rsid w:val="005A2D7F"/>
    <w:rsid w:val="005A3AAE"/>
    <w:rsid w:val="005A5033"/>
    <w:rsid w:val="005A79F7"/>
    <w:rsid w:val="005B09BC"/>
    <w:rsid w:val="005B6632"/>
    <w:rsid w:val="005B7BD6"/>
    <w:rsid w:val="005C3B49"/>
    <w:rsid w:val="005C627E"/>
    <w:rsid w:val="005C7F25"/>
    <w:rsid w:val="005D5E28"/>
    <w:rsid w:val="005D67FA"/>
    <w:rsid w:val="005E0F1F"/>
    <w:rsid w:val="005E232E"/>
    <w:rsid w:val="005E4F66"/>
    <w:rsid w:val="005F087C"/>
    <w:rsid w:val="005F18C9"/>
    <w:rsid w:val="005F5989"/>
    <w:rsid w:val="005F6C29"/>
    <w:rsid w:val="00600738"/>
    <w:rsid w:val="006059F5"/>
    <w:rsid w:val="006106B5"/>
    <w:rsid w:val="00612217"/>
    <w:rsid w:val="00613BF1"/>
    <w:rsid w:val="00615240"/>
    <w:rsid w:val="00617C0E"/>
    <w:rsid w:val="006210B8"/>
    <w:rsid w:val="00622FC6"/>
    <w:rsid w:val="00630261"/>
    <w:rsid w:val="006410FC"/>
    <w:rsid w:val="006425E7"/>
    <w:rsid w:val="006433C4"/>
    <w:rsid w:val="00653A05"/>
    <w:rsid w:val="00667AB3"/>
    <w:rsid w:val="0067009E"/>
    <w:rsid w:val="006701A5"/>
    <w:rsid w:val="0067251F"/>
    <w:rsid w:val="00672611"/>
    <w:rsid w:val="00684F15"/>
    <w:rsid w:val="006926D3"/>
    <w:rsid w:val="00696E16"/>
    <w:rsid w:val="006A4CC8"/>
    <w:rsid w:val="006B618E"/>
    <w:rsid w:val="006E23D8"/>
    <w:rsid w:val="006E6F12"/>
    <w:rsid w:val="006F2727"/>
    <w:rsid w:val="006F347E"/>
    <w:rsid w:val="00712C26"/>
    <w:rsid w:val="00714A16"/>
    <w:rsid w:val="0072328A"/>
    <w:rsid w:val="00763D78"/>
    <w:rsid w:val="00787DA1"/>
    <w:rsid w:val="007950C3"/>
    <w:rsid w:val="007A7ABB"/>
    <w:rsid w:val="007C5511"/>
    <w:rsid w:val="007D2C34"/>
    <w:rsid w:val="007D4F95"/>
    <w:rsid w:val="007E7951"/>
    <w:rsid w:val="007F2F20"/>
    <w:rsid w:val="007F5DE4"/>
    <w:rsid w:val="007F7A9A"/>
    <w:rsid w:val="00801A03"/>
    <w:rsid w:val="00802E00"/>
    <w:rsid w:val="00803386"/>
    <w:rsid w:val="0081141E"/>
    <w:rsid w:val="00814B6D"/>
    <w:rsid w:val="00815E01"/>
    <w:rsid w:val="00816AD8"/>
    <w:rsid w:val="00820435"/>
    <w:rsid w:val="008239CA"/>
    <w:rsid w:val="00825B00"/>
    <w:rsid w:val="008341C2"/>
    <w:rsid w:val="00835034"/>
    <w:rsid w:val="00835D23"/>
    <w:rsid w:val="00843885"/>
    <w:rsid w:val="00846CC3"/>
    <w:rsid w:val="00850A94"/>
    <w:rsid w:val="00851360"/>
    <w:rsid w:val="00861C46"/>
    <w:rsid w:val="008670AC"/>
    <w:rsid w:val="00874E5E"/>
    <w:rsid w:val="008831B1"/>
    <w:rsid w:val="00885D3D"/>
    <w:rsid w:val="008A14B8"/>
    <w:rsid w:val="008A46F2"/>
    <w:rsid w:val="008A668E"/>
    <w:rsid w:val="008B7DBE"/>
    <w:rsid w:val="008C0472"/>
    <w:rsid w:val="008C0522"/>
    <w:rsid w:val="008C0E47"/>
    <w:rsid w:val="008C3DD3"/>
    <w:rsid w:val="008C749F"/>
    <w:rsid w:val="008D0BA1"/>
    <w:rsid w:val="008D27BC"/>
    <w:rsid w:val="008D303F"/>
    <w:rsid w:val="008F3E82"/>
    <w:rsid w:val="008F6ACC"/>
    <w:rsid w:val="008F6DA5"/>
    <w:rsid w:val="00903D54"/>
    <w:rsid w:val="009112F1"/>
    <w:rsid w:val="0091288A"/>
    <w:rsid w:val="009150FB"/>
    <w:rsid w:val="00917E47"/>
    <w:rsid w:val="009217F3"/>
    <w:rsid w:val="00921E3C"/>
    <w:rsid w:val="0092439D"/>
    <w:rsid w:val="009338EB"/>
    <w:rsid w:val="0094608B"/>
    <w:rsid w:val="00946A39"/>
    <w:rsid w:val="00953322"/>
    <w:rsid w:val="00956A89"/>
    <w:rsid w:val="0097340F"/>
    <w:rsid w:val="00975101"/>
    <w:rsid w:val="0097756D"/>
    <w:rsid w:val="00982CEF"/>
    <w:rsid w:val="00985EFC"/>
    <w:rsid w:val="0098708C"/>
    <w:rsid w:val="009878F6"/>
    <w:rsid w:val="0099305E"/>
    <w:rsid w:val="009935CF"/>
    <w:rsid w:val="00997BF2"/>
    <w:rsid w:val="009A3A1D"/>
    <w:rsid w:val="009A59CB"/>
    <w:rsid w:val="009B00A5"/>
    <w:rsid w:val="009C2408"/>
    <w:rsid w:val="009C3355"/>
    <w:rsid w:val="009C4F69"/>
    <w:rsid w:val="009D312A"/>
    <w:rsid w:val="009D40F0"/>
    <w:rsid w:val="009D5DED"/>
    <w:rsid w:val="009E0E89"/>
    <w:rsid w:val="009E2BE0"/>
    <w:rsid w:val="009E3F2F"/>
    <w:rsid w:val="009E5E5B"/>
    <w:rsid w:val="009E68C1"/>
    <w:rsid w:val="009E7B1F"/>
    <w:rsid w:val="009F5AEC"/>
    <w:rsid w:val="00A03EC7"/>
    <w:rsid w:val="00A23169"/>
    <w:rsid w:val="00A246A5"/>
    <w:rsid w:val="00A2759E"/>
    <w:rsid w:val="00A27D2F"/>
    <w:rsid w:val="00A32348"/>
    <w:rsid w:val="00A475FF"/>
    <w:rsid w:val="00A525A6"/>
    <w:rsid w:val="00A52738"/>
    <w:rsid w:val="00A52CC8"/>
    <w:rsid w:val="00A54AE0"/>
    <w:rsid w:val="00A55FDF"/>
    <w:rsid w:val="00A57194"/>
    <w:rsid w:val="00A644D8"/>
    <w:rsid w:val="00A73A76"/>
    <w:rsid w:val="00A75529"/>
    <w:rsid w:val="00A773B5"/>
    <w:rsid w:val="00AA503E"/>
    <w:rsid w:val="00AB682F"/>
    <w:rsid w:val="00AC2BE9"/>
    <w:rsid w:val="00AC5011"/>
    <w:rsid w:val="00AC5283"/>
    <w:rsid w:val="00AD7397"/>
    <w:rsid w:val="00AE1F98"/>
    <w:rsid w:val="00AE37DA"/>
    <w:rsid w:val="00AF1769"/>
    <w:rsid w:val="00AF1BE9"/>
    <w:rsid w:val="00AF50DA"/>
    <w:rsid w:val="00AF568F"/>
    <w:rsid w:val="00B04448"/>
    <w:rsid w:val="00B04FB6"/>
    <w:rsid w:val="00B201EB"/>
    <w:rsid w:val="00B202F1"/>
    <w:rsid w:val="00B22BF9"/>
    <w:rsid w:val="00B25D75"/>
    <w:rsid w:val="00B3519C"/>
    <w:rsid w:val="00B4015B"/>
    <w:rsid w:val="00B5402B"/>
    <w:rsid w:val="00B57DDF"/>
    <w:rsid w:val="00B63414"/>
    <w:rsid w:val="00B67D6B"/>
    <w:rsid w:val="00B740D9"/>
    <w:rsid w:val="00B82DB4"/>
    <w:rsid w:val="00B833C4"/>
    <w:rsid w:val="00B862C9"/>
    <w:rsid w:val="00B93CA1"/>
    <w:rsid w:val="00B94E63"/>
    <w:rsid w:val="00B97BB1"/>
    <w:rsid w:val="00BB313F"/>
    <w:rsid w:val="00BC10A9"/>
    <w:rsid w:val="00BC6AFA"/>
    <w:rsid w:val="00BC76E8"/>
    <w:rsid w:val="00BC7F5D"/>
    <w:rsid w:val="00BD16A0"/>
    <w:rsid w:val="00BF00A3"/>
    <w:rsid w:val="00BF049B"/>
    <w:rsid w:val="00BF6E56"/>
    <w:rsid w:val="00C02A2B"/>
    <w:rsid w:val="00C04DB5"/>
    <w:rsid w:val="00C12620"/>
    <w:rsid w:val="00C176BC"/>
    <w:rsid w:val="00C232DA"/>
    <w:rsid w:val="00C31051"/>
    <w:rsid w:val="00C35E9E"/>
    <w:rsid w:val="00C37B35"/>
    <w:rsid w:val="00C421CF"/>
    <w:rsid w:val="00C42F2D"/>
    <w:rsid w:val="00C52062"/>
    <w:rsid w:val="00C5485A"/>
    <w:rsid w:val="00C6173F"/>
    <w:rsid w:val="00C625FD"/>
    <w:rsid w:val="00C64A52"/>
    <w:rsid w:val="00C70C7D"/>
    <w:rsid w:val="00C72643"/>
    <w:rsid w:val="00C8011F"/>
    <w:rsid w:val="00C80EE0"/>
    <w:rsid w:val="00C8397A"/>
    <w:rsid w:val="00C87A4F"/>
    <w:rsid w:val="00C90F05"/>
    <w:rsid w:val="00C9188C"/>
    <w:rsid w:val="00C91C4C"/>
    <w:rsid w:val="00C92946"/>
    <w:rsid w:val="00C96E95"/>
    <w:rsid w:val="00CA2430"/>
    <w:rsid w:val="00CB35C4"/>
    <w:rsid w:val="00CB75AB"/>
    <w:rsid w:val="00CC5435"/>
    <w:rsid w:val="00CD236C"/>
    <w:rsid w:val="00CD2C15"/>
    <w:rsid w:val="00CD4EDE"/>
    <w:rsid w:val="00CD6FEC"/>
    <w:rsid w:val="00CE166D"/>
    <w:rsid w:val="00CE36FD"/>
    <w:rsid w:val="00CE3A48"/>
    <w:rsid w:val="00CE490E"/>
    <w:rsid w:val="00D00AB6"/>
    <w:rsid w:val="00D00E38"/>
    <w:rsid w:val="00D06814"/>
    <w:rsid w:val="00D118EB"/>
    <w:rsid w:val="00D11E2E"/>
    <w:rsid w:val="00D165D7"/>
    <w:rsid w:val="00D22055"/>
    <w:rsid w:val="00D300DA"/>
    <w:rsid w:val="00D3075D"/>
    <w:rsid w:val="00D333E8"/>
    <w:rsid w:val="00D35FD4"/>
    <w:rsid w:val="00D40FC8"/>
    <w:rsid w:val="00D443A5"/>
    <w:rsid w:val="00D449B9"/>
    <w:rsid w:val="00D46AAC"/>
    <w:rsid w:val="00D56D46"/>
    <w:rsid w:val="00D57AB4"/>
    <w:rsid w:val="00D608E9"/>
    <w:rsid w:val="00D63E7D"/>
    <w:rsid w:val="00D70BC5"/>
    <w:rsid w:val="00D73E6F"/>
    <w:rsid w:val="00D816FB"/>
    <w:rsid w:val="00D919F2"/>
    <w:rsid w:val="00DA1B0B"/>
    <w:rsid w:val="00DA4158"/>
    <w:rsid w:val="00DA647D"/>
    <w:rsid w:val="00DB2FA4"/>
    <w:rsid w:val="00DC014C"/>
    <w:rsid w:val="00DC1B11"/>
    <w:rsid w:val="00DC6590"/>
    <w:rsid w:val="00DC6B62"/>
    <w:rsid w:val="00DD02E7"/>
    <w:rsid w:val="00DD1ADC"/>
    <w:rsid w:val="00DD2032"/>
    <w:rsid w:val="00DD24F4"/>
    <w:rsid w:val="00DD3C31"/>
    <w:rsid w:val="00DE09EF"/>
    <w:rsid w:val="00DE347A"/>
    <w:rsid w:val="00DF018D"/>
    <w:rsid w:val="00DF0F41"/>
    <w:rsid w:val="00DF4A15"/>
    <w:rsid w:val="00DF6CFD"/>
    <w:rsid w:val="00E10519"/>
    <w:rsid w:val="00E117DD"/>
    <w:rsid w:val="00E17093"/>
    <w:rsid w:val="00E26D9F"/>
    <w:rsid w:val="00E26F93"/>
    <w:rsid w:val="00E33BA2"/>
    <w:rsid w:val="00E37FD4"/>
    <w:rsid w:val="00E46C90"/>
    <w:rsid w:val="00E51301"/>
    <w:rsid w:val="00E52DA1"/>
    <w:rsid w:val="00E530A3"/>
    <w:rsid w:val="00E67434"/>
    <w:rsid w:val="00E74396"/>
    <w:rsid w:val="00E75F73"/>
    <w:rsid w:val="00E911EF"/>
    <w:rsid w:val="00E94D90"/>
    <w:rsid w:val="00EB3E88"/>
    <w:rsid w:val="00EC124F"/>
    <w:rsid w:val="00EC2DAD"/>
    <w:rsid w:val="00EC59A1"/>
    <w:rsid w:val="00EC7505"/>
    <w:rsid w:val="00EC78D9"/>
    <w:rsid w:val="00EC7EEC"/>
    <w:rsid w:val="00ED51B7"/>
    <w:rsid w:val="00ED5BE1"/>
    <w:rsid w:val="00ED5F1C"/>
    <w:rsid w:val="00EE4C65"/>
    <w:rsid w:val="00EF0759"/>
    <w:rsid w:val="00EF211D"/>
    <w:rsid w:val="00EF4D4C"/>
    <w:rsid w:val="00EF54D0"/>
    <w:rsid w:val="00F00859"/>
    <w:rsid w:val="00F02F3B"/>
    <w:rsid w:val="00F07616"/>
    <w:rsid w:val="00F1189F"/>
    <w:rsid w:val="00F13934"/>
    <w:rsid w:val="00F211C6"/>
    <w:rsid w:val="00F271DD"/>
    <w:rsid w:val="00F3002E"/>
    <w:rsid w:val="00F33C40"/>
    <w:rsid w:val="00F407DA"/>
    <w:rsid w:val="00F469ED"/>
    <w:rsid w:val="00F504AA"/>
    <w:rsid w:val="00F51DCC"/>
    <w:rsid w:val="00F60751"/>
    <w:rsid w:val="00F61F69"/>
    <w:rsid w:val="00F64A48"/>
    <w:rsid w:val="00F65457"/>
    <w:rsid w:val="00F66E66"/>
    <w:rsid w:val="00F726F3"/>
    <w:rsid w:val="00F72EF2"/>
    <w:rsid w:val="00F767FC"/>
    <w:rsid w:val="00F8254A"/>
    <w:rsid w:val="00FA62A5"/>
    <w:rsid w:val="00FB1B84"/>
    <w:rsid w:val="00FB1C76"/>
    <w:rsid w:val="00FB36D7"/>
    <w:rsid w:val="00FC2E74"/>
    <w:rsid w:val="00FC3E1E"/>
    <w:rsid w:val="00FD3F2E"/>
    <w:rsid w:val="00FD652F"/>
    <w:rsid w:val="00FE30EF"/>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2BFD70A9"/>
  <w15:chartTrackingRefBased/>
  <w15:docId w15:val="{DE7FEEDD-046F-4A3A-BAE6-C6DDBD4D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1EF"/>
    <w:rPr>
      <w:sz w:val="24"/>
      <w:szCs w:val="24"/>
    </w:rPr>
  </w:style>
  <w:style w:type="paragraph" w:styleId="Heading1">
    <w:name w:val="heading 1"/>
    <w:basedOn w:val="Normal"/>
    <w:next w:val="00BodyText1"/>
    <w:uiPriority w:val="9"/>
    <w:qFormat/>
    <w:pPr>
      <w:numPr>
        <w:numId w:val="18"/>
      </w:numPr>
      <w:spacing w:after="240"/>
      <w:jc w:val="both"/>
      <w:outlineLvl w:val="0"/>
    </w:pPr>
    <w:rPr>
      <w:bCs/>
      <w:szCs w:val="32"/>
    </w:rPr>
  </w:style>
  <w:style w:type="paragraph" w:styleId="Heading2">
    <w:name w:val="heading 2"/>
    <w:basedOn w:val="Normal"/>
    <w:next w:val="00BodyText1"/>
    <w:link w:val="Heading2Char"/>
    <w:uiPriority w:val="9"/>
    <w:qFormat/>
    <w:pPr>
      <w:numPr>
        <w:ilvl w:val="1"/>
        <w:numId w:val="18"/>
      </w:numPr>
      <w:spacing w:after="240"/>
      <w:jc w:val="both"/>
      <w:outlineLvl w:val="1"/>
    </w:pPr>
    <w:rPr>
      <w:bCs/>
      <w:iCs/>
      <w:szCs w:val="28"/>
    </w:rPr>
  </w:style>
  <w:style w:type="paragraph" w:styleId="Heading3">
    <w:name w:val="heading 3"/>
    <w:basedOn w:val="Normal"/>
    <w:next w:val="00BodyText1"/>
    <w:uiPriority w:val="9"/>
    <w:qFormat/>
    <w:pPr>
      <w:numPr>
        <w:ilvl w:val="2"/>
        <w:numId w:val="18"/>
      </w:numPr>
      <w:tabs>
        <w:tab w:val="left" w:pos="2880"/>
      </w:tabs>
      <w:spacing w:after="240"/>
      <w:jc w:val="both"/>
      <w:outlineLvl w:val="2"/>
    </w:pPr>
    <w:rPr>
      <w:bCs/>
      <w:szCs w:val="26"/>
    </w:rPr>
  </w:style>
  <w:style w:type="paragraph" w:styleId="Heading4">
    <w:name w:val="heading 4"/>
    <w:basedOn w:val="Normal"/>
    <w:next w:val="00BodyText1"/>
    <w:uiPriority w:val="9"/>
    <w:qFormat/>
    <w:pPr>
      <w:numPr>
        <w:ilvl w:val="3"/>
        <w:numId w:val="18"/>
      </w:numPr>
      <w:tabs>
        <w:tab w:val="left" w:pos="3600"/>
      </w:tabs>
      <w:spacing w:after="240"/>
      <w:jc w:val="both"/>
      <w:outlineLvl w:val="3"/>
    </w:pPr>
    <w:rPr>
      <w:bCs/>
      <w:szCs w:val="28"/>
    </w:rPr>
  </w:style>
  <w:style w:type="paragraph" w:styleId="Heading5">
    <w:name w:val="heading 5"/>
    <w:basedOn w:val="Normal"/>
    <w:next w:val="00BodyText1"/>
    <w:uiPriority w:val="9"/>
    <w:qFormat/>
    <w:pPr>
      <w:numPr>
        <w:ilvl w:val="4"/>
        <w:numId w:val="18"/>
      </w:numPr>
      <w:spacing w:after="240"/>
      <w:outlineLvl w:val="4"/>
    </w:pPr>
    <w:rPr>
      <w:bCs/>
      <w:iCs/>
      <w:szCs w:val="26"/>
    </w:rPr>
  </w:style>
  <w:style w:type="paragraph" w:styleId="Heading6">
    <w:name w:val="heading 6"/>
    <w:basedOn w:val="Normal"/>
    <w:next w:val="00BodyText1"/>
    <w:uiPriority w:val="9"/>
    <w:qFormat/>
    <w:pPr>
      <w:numPr>
        <w:ilvl w:val="5"/>
        <w:numId w:val="18"/>
      </w:numPr>
      <w:spacing w:after="240"/>
      <w:outlineLvl w:val="5"/>
    </w:pPr>
    <w:rPr>
      <w:bCs/>
      <w:szCs w:val="22"/>
    </w:rPr>
  </w:style>
  <w:style w:type="paragraph" w:styleId="Heading7">
    <w:name w:val="heading 7"/>
    <w:basedOn w:val="Normal"/>
    <w:next w:val="00BodyText1"/>
    <w:uiPriority w:val="9"/>
    <w:qFormat/>
    <w:pPr>
      <w:numPr>
        <w:ilvl w:val="6"/>
        <w:numId w:val="18"/>
      </w:numPr>
      <w:spacing w:after="240"/>
      <w:outlineLvl w:val="6"/>
    </w:pPr>
  </w:style>
  <w:style w:type="paragraph" w:styleId="Heading8">
    <w:name w:val="heading 8"/>
    <w:basedOn w:val="Normal"/>
    <w:next w:val="00BodyText1"/>
    <w:uiPriority w:val="9"/>
    <w:qFormat/>
    <w:pPr>
      <w:numPr>
        <w:ilvl w:val="7"/>
        <w:numId w:val="18"/>
      </w:numPr>
      <w:spacing w:after="240"/>
      <w:outlineLvl w:val="7"/>
    </w:pPr>
    <w:rPr>
      <w:iCs/>
    </w:rPr>
  </w:style>
  <w:style w:type="paragraph" w:styleId="Heading9">
    <w:name w:val="heading 9"/>
    <w:basedOn w:val="Normal"/>
    <w:next w:val="00BodyText1"/>
    <w:uiPriority w:val="9"/>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aliases w:val="h"/>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jc w:val="both"/>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qFormat/>
    <w:pPr>
      <w:keepNext/>
      <w:spacing w:after="24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qFormat/>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link w:val="SignatureChar"/>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qFormat/>
    <w:pPr>
      <w:keepNext/>
      <w:spacing w:after="240"/>
      <w:jc w:val="center"/>
    </w:pPr>
  </w:style>
  <w:style w:type="paragraph" w:customStyle="1" w:styleId="00HangingIndent">
    <w:name w:val="00 Hanging Indent"/>
    <w:basedOn w:val="Normal"/>
    <w:pPr>
      <w:spacing w:after="240"/>
      <w:ind w:left="2160" w:hanging="2160"/>
    </w:pPr>
  </w:style>
  <w:style w:type="paragraph" w:customStyle="1" w:styleId="00LeftIndent5">
    <w:name w:val="00 Left Indent .5"/>
    <w:basedOn w:val="Normal"/>
    <w:pPr>
      <w:spacing w:after="240"/>
      <w:ind w:left="720"/>
      <w:jc w:val="both"/>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gnature">
    <w:name w:val="O-Signature"/>
    <w:aliases w:val="S12"/>
    <w:basedOn w:val="Normal"/>
    <w:next w:val="Normal"/>
    <w:rsid w:val="00851360"/>
    <w:pPr>
      <w:keepNext/>
      <w:keepLines/>
      <w:spacing w:after="240"/>
      <w:ind w:left="5040"/>
    </w:pPr>
    <w:rPr>
      <w:szCs w:val="20"/>
    </w:rPr>
  </w:style>
  <w:style w:type="paragraph" w:customStyle="1" w:styleId="BodyText5">
    <w:name w:val="* Body Text .5"/>
    <w:basedOn w:val="Normal"/>
    <w:rsid w:val="00851360"/>
    <w:pPr>
      <w:spacing w:after="240"/>
      <w:ind w:firstLine="720"/>
    </w:pPr>
  </w:style>
  <w:style w:type="paragraph" w:customStyle="1" w:styleId="DefaultParagraphFontParaChar">
    <w:name w:val="Default Paragraph Font Para Char"/>
    <w:basedOn w:val="Normal"/>
    <w:rsid w:val="00851360"/>
    <w:pPr>
      <w:spacing w:after="160" w:line="240" w:lineRule="exact"/>
      <w:jc w:val="both"/>
    </w:pPr>
    <w:rPr>
      <w:rFonts w:ascii="Verdana" w:hAnsi="Verdana"/>
      <w:sz w:val="20"/>
      <w:szCs w:val="20"/>
    </w:rPr>
  </w:style>
  <w:style w:type="paragraph" w:styleId="BalloonText">
    <w:name w:val="Balloon Text"/>
    <w:basedOn w:val="Normal"/>
    <w:link w:val="BalloonTextChar"/>
    <w:rsid w:val="009D5DED"/>
    <w:rPr>
      <w:rFonts w:ascii="Tahoma" w:hAnsi="Tahoma" w:cs="Tahoma"/>
      <w:sz w:val="16"/>
      <w:szCs w:val="16"/>
    </w:rPr>
  </w:style>
  <w:style w:type="character" w:customStyle="1" w:styleId="BalloonTextChar">
    <w:name w:val="Balloon Text Char"/>
    <w:link w:val="BalloonText"/>
    <w:rsid w:val="009D5DED"/>
    <w:rPr>
      <w:rFonts w:ascii="Tahoma" w:hAnsi="Tahoma" w:cs="Tahoma"/>
      <w:sz w:val="16"/>
      <w:szCs w:val="16"/>
    </w:rPr>
  </w:style>
  <w:style w:type="character" w:customStyle="1" w:styleId="HeaderChar">
    <w:name w:val="Header Char"/>
    <w:aliases w:val="h Char"/>
    <w:link w:val="Header"/>
    <w:rsid w:val="00946A39"/>
    <w:rPr>
      <w:sz w:val="24"/>
      <w:szCs w:val="24"/>
    </w:rPr>
  </w:style>
  <w:style w:type="character" w:customStyle="1" w:styleId="SignatureChar">
    <w:name w:val="Signature Char"/>
    <w:basedOn w:val="DefaultParagraphFont"/>
    <w:link w:val="Signature"/>
    <w:rsid w:val="00E911EF"/>
    <w:rPr>
      <w:sz w:val="24"/>
      <w:szCs w:val="24"/>
    </w:rPr>
  </w:style>
  <w:style w:type="character" w:customStyle="1" w:styleId="Heading2Char">
    <w:name w:val="Heading 2 Char"/>
    <w:basedOn w:val="DefaultParagraphFont"/>
    <w:link w:val="Heading2"/>
    <w:uiPriority w:val="9"/>
    <w:rsid w:val="003B1E96"/>
    <w:rPr>
      <w:bCs/>
      <w:iCs/>
      <w:sz w:val="24"/>
      <w:szCs w:val="28"/>
    </w:rPr>
  </w:style>
  <w:style w:type="character" w:styleId="FootnoteReference">
    <w:name w:val="footnote reference"/>
    <w:basedOn w:val="DefaultParagraphFont"/>
    <w:rsid w:val="008C3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llard%20Spahr%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4617-0E9B-410C-AA3E-62D2A3C5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170</TotalTime>
  <Pages>38</Pages>
  <Words>14755</Words>
  <Characters>76399</Characters>
  <Application>Microsoft Office Word</Application>
  <DocSecurity>0</DocSecurity>
  <Lines>636</Lines>
  <Paragraphs>181</Paragraphs>
  <ScaleCrop>false</ScaleCrop>
  <HeadingPairs>
    <vt:vector size="2" baseType="variant">
      <vt:variant>
        <vt:lpstr>Title</vt:lpstr>
      </vt:variant>
      <vt:variant>
        <vt:i4>1</vt:i4>
      </vt:variant>
    </vt:vector>
  </HeadingPairs>
  <TitlesOfParts>
    <vt:vector size="1" baseType="lpstr">
      <vt:lpstr>PURCHASE CONTRACT</vt:lpstr>
    </vt:vector>
  </TitlesOfParts>
  <Company/>
  <LinksUpToDate>false</LinksUpToDate>
  <CharactersWithSpaces>90973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subject/>
  <dc:creator>lorraine duffey</dc:creator>
  <cp:keywords/>
  <dc:description/>
  <cp:lastModifiedBy>Tracy, Rene (G&amp;B)</cp:lastModifiedBy>
  <cp:revision>17</cp:revision>
  <cp:lastPrinted>2017-12-13T05:07:00Z</cp:lastPrinted>
  <dcterms:created xsi:type="dcterms:W3CDTF">2022-03-30T19:23:00Z</dcterms:created>
  <dcterms:modified xsi:type="dcterms:W3CDTF">2022-03-31T22:04:00Z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#14496398 v1</vt:lpwstr>
  </property>
</Properties>
</file>